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E586" w14:textId="19132382" w:rsidR="0082579D" w:rsidRDefault="0082579D" w:rsidP="0082579D">
      <w:pPr>
        <w:pStyle w:val="Kop1"/>
        <w:numPr>
          <w:ilvl w:val="0"/>
          <w:numId w:val="0"/>
        </w:numPr>
        <w:ind w:left="567" w:hanging="567"/>
      </w:pPr>
      <w:r>
        <w:t>Implementatieplan meldcode huiselijk geweld en kindermishandeling</w:t>
      </w:r>
    </w:p>
    <w:tbl>
      <w:tblPr>
        <w:tblStyle w:val="Tabelraster"/>
        <w:tblW w:w="5001" w:type="pct"/>
        <w:tblLook w:val="04A0" w:firstRow="1" w:lastRow="0" w:firstColumn="1" w:lastColumn="0" w:noHBand="0" w:noVBand="1"/>
      </w:tblPr>
      <w:tblGrid>
        <w:gridCol w:w="420"/>
        <w:gridCol w:w="53"/>
        <w:gridCol w:w="9252"/>
        <w:gridCol w:w="1425"/>
        <w:gridCol w:w="1425"/>
        <w:gridCol w:w="1422"/>
      </w:tblGrid>
      <w:tr w:rsidR="0082579D" w:rsidRPr="00C903EE" w14:paraId="5903B379" w14:textId="77777777" w:rsidTr="0082579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C5F2" w14:textId="77777777" w:rsidR="0082579D" w:rsidRPr="00C903EE" w:rsidRDefault="0082579D" w:rsidP="0082579D">
            <w:pPr>
              <w:pStyle w:val="Kop3"/>
            </w:pPr>
            <w:r>
              <w:t>A</w:t>
            </w:r>
            <w:r w:rsidRPr="00C903EE">
              <w:t xml:space="preserve">. </w:t>
            </w:r>
            <w:r>
              <w:t>Handelen volgens de meldcode.</w:t>
            </w:r>
          </w:p>
        </w:tc>
      </w:tr>
      <w:tr w:rsidR="0082579D" w:rsidRPr="00C903EE" w14:paraId="3B8C32D3" w14:textId="77777777" w:rsidTr="0082579D">
        <w:trPr>
          <w:trHeight w:val="567"/>
        </w:trPr>
        <w:tc>
          <w:tcPr>
            <w:tcW w:w="150" w:type="pct"/>
            <w:shd w:val="clear" w:color="auto" w:fill="auto"/>
          </w:tcPr>
          <w:p w14:paraId="7E090BA2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3C104E85" w14:textId="77777777" w:rsidR="0082579D" w:rsidRPr="00C903EE" w:rsidRDefault="0082579D" w:rsidP="003907A9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58A12A25" w14:textId="77777777" w:rsidR="0082579D" w:rsidRPr="00C903EE" w:rsidRDefault="0082579D" w:rsidP="003907A9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39DAA183" w14:textId="77777777" w:rsidR="0082579D" w:rsidRPr="00C903EE" w:rsidRDefault="0082579D" w:rsidP="003907A9">
            <w:pPr>
              <w:pStyle w:val="Kop5"/>
            </w:pPr>
            <w:r w:rsidRPr="00C903EE">
              <w:t>Wie:</w:t>
            </w:r>
          </w:p>
        </w:tc>
        <w:tc>
          <w:tcPr>
            <w:tcW w:w="508" w:type="pct"/>
            <w:shd w:val="clear" w:color="auto" w:fill="auto"/>
          </w:tcPr>
          <w:p w14:paraId="1372F0CA" w14:textId="77777777" w:rsidR="0082579D" w:rsidRPr="00C903EE" w:rsidRDefault="0082579D" w:rsidP="003907A9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59C99A45" w14:textId="77777777" w:rsidTr="0082579D">
        <w:trPr>
          <w:trHeight w:val="567"/>
        </w:trPr>
        <w:tc>
          <w:tcPr>
            <w:tcW w:w="150" w:type="pct"/>
            <w:shd w:val="clear" w:color="auto" w:fill="auto"/>
          </w:tcPr>
          <w:p w14:paraId="0C86A066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23C41112" w14:textId="77777777" w:rsidR="0082579D" w:rsidRPr="00C903EE" w:rsidRDefault="0082579D" w:rsidP="003907A9">
            <w:pPr>
              <w:pStyle w:val="Standaardlinks0"/>
            </w:pPr>
            <w:r>
              <w:t>De</w:t>
            </w:r>
            <w:r w:rsidRPr="00A572B1">
              <w:t xml:space="preserve"> meldcode</w:t>
            </w:r>
            <w:r>
              <w:t xml:space="preserve"> is o</w:t>
            </w:r>
            <w:r w:rsidRPr="00A572B1">
              <w:t xml:space="preserve">p maat </w:t>
            </w:r>
            <w:r>
              <w:t xml:space="preserve">ontwikkeld </w:t>
            </w:r>
            <w:r w:rsidRPr="00A572B1">
              <w:t xml:space="preserve">voor de organisatie </w:t>
            </w:r>
            <w:r>
              <w:t>en vastgesteld door</w:t>
            </w:r>
            <w:r w:rsidRPr="00A572B1">
              <w:t xml:space="preserve"> directie.</w:t>
            </w:r>
          </w:p>
        </w:tc>
        <w:tc>
          <w:tcPr>
            <w:tcW w:w="509" w:type="pct"/>
            <w:shd w:val="clear" w:color="auto" w:fill="auto"/>
          </w:tcPr>
          <w:p w14:paraId="33CF92DE" w14:textId="77777777" w:rsidR="0082579D" w:rsidRPr="00C903EE" w:rsidRDefault="0082579D" w:rsidP="003907A9">
            <w:pPr>
              <w:pStyle w:val="Standaardlinks0"/>
            </w:pPr>
          </w:p>
        </w:tc>
        <w:tc>
          <w:tcPr>
            <w:tcW w:w="509" w:type="pct"/>
            <w:shd w:val="clear" w:color="auto" w:fill="auto"/>
          </w:tcPr>
          <w:p w14:paraId="3D421262" w14:textId="77777777" w:rsidR="0082579D" w:rsidRPr="00C903EE" w:rsidRDefault="0082579D" w:rsidP="003907A9">
            <w:pPr>
              <w:pStyle w:val="Standaardlinks0"/>
            </w:pPr>
          </w:p>
        </w:tc>
        <w:tc>
          <w:tcPr>
            <w:tcW w:w="508" w:type="pct"/>
            <w:shd w:val="clear" w:color="auto" w:fill="auto"/>
          </w:tcPr>
          <w:p w14:paraId="2AC81B3C" w14:textId="77777777" w:rsidR="0082579D" w:rsidRPr="00C903EE" w:rsidRDefault="0082579D" w:rsidP="003907A9">
            <w:pPr>
              <w:pStyle w:val="Standaardlinks0"/>
            </w:pPr>
          </w:p>
        </w:tc>
      </w:tr>
      <w:tr w:rsidR="0082579D" w:rsidRPr="00C903EE" w14:paraId="6A37E4AD" w14:textId="77777777" w:rsidTr="0082579D">
        <w:trPr>
          <w:trHeight w:val="567"/>
        </w:trPr>
        <w:tc>
          <w:tcPr>
            <w:tcW w:w="150" w:type="pct"/>
            <w:shd w:val="clear" w:color="auto" w:fill="auto"/>
          </w:tcPr>
          <w:p w14:paraId="2630423A" w14:textId="77777777" w:rsidR="0082579D" w:rsidRDefault="0082579D" w:rsidP="0082579D">
            <w:pPr>
              <w:pStyle w:val="Lijstnummering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246979E6" w14:textId="77777777" w:rsidR="0082579D" w:rsidRPr="00C903EE" w:rsidRDefault="0082579D" w:rsidP="003907A9">
            <w:pPr>
              <w:pStyle w:val="Standaardlinks0"/>
            </w:pPr>
            <w:r>
              <w:t>De</w:t>
            </w:r>
            <w:r w:rsidRPr="00A572B1">
              <w:t xml:space="preserve"> meldcode </w:t>
            </w:r>
            <w:r>
              <w:t>is getoetst</w:t>
            </w:r>
            <w:r w:rsidRPr="00A572B1">
              <w:t xml:space="preserve"> op de minimale wettelijke, branche- en organisatiekaders.</w:t>
            </w:r>
          </w:p>
        </w:tc>
        <w:tc>
          <w:tcPr>
            <w:tcW w:w="509" w:type="pct"/>
            <w:shd w:val="clear" w:color="auto" w:fill="auto"/>
          </w:tcPr>
          <w:p w14:paraId="7D762353" w14:textId="77777777" w:rsidR="0082579D" w:rsidRPr="00C903EE" w:rsidRDefault="0082579D" w:rsidP="003907A9">
            <w:pPr>
              <w:pStyle w:val="Standaardlinks0"/>
            </w:pPr>
          </w:p>
        </w:tc>
        <w:tc>
          <w:tcPr>
            <w:tcW w:w="509" w:type="pct"/>
            <w:shd w:val="clear" w:color="auto" w:fill="auto"/>
          </w:tcPr>
          <w:p w14:paraId="38361EE3" w14:textId="77777777" w:rsidR="0082579D" w:rsidRPr="00C903EE" w:rsidRDefault="0082579D" w:rsidP="003907A9">
            <w:pPr>
              <w:pStyle w:val="Standaardlinks0"/>
            </w:pPr>
          </w:p>
        </w:tc>
        <w:tc>
          <w:tcPr>
            <w:tcW w:w="508" w:type="pct"/>
            <w:shd w:val="clear" w:color="auto" w:fill="auto"/>
          </w:tcPr>
          <w:p w14:paraId="0F4BCE59" w14:textId="77777777" w:rsidR="0082579D" w:rsidRPr="00C903EE" w:rsidRDefault="0082579D" w:rsidP="003907A9">
            <w:pPr>
              <w:pStyle w:val="Standaardlinks0"/>
            </w:pPr>
          </w:p>
        </w:tc>
      </w:tr>
      <w:tr w:rsidR="0082579D" w:rsidRPr="00C903EE" w14:paraId="6F6255CB" w14:textId="77777777" w:rsidTr="0082579D">
        <w:trPr>
          <w:trHeight w:val="567"/>
        </w:trPr>
        <w:tc>
          <w:tcPr>
            <w:tcW w:w="150" w:type="pct"/>
            <w:shd w:val="clear" w:color="auto" w:fill="auto"/>
          </w:tcPr>
          <w:p w14:paraId="7D4CB176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0240FC4C" w14:textId="4B973459" w:rsidR="0082579D" w:rsidRPr="00C903EE" w:rsidRDefault="0082579D" w:rsidP="003907A9">
            <w:pPr>
              <w:pStyle w:val="Standaardlinks0"/>
            </w:pPr>
            <w:r>
              <w:t>De meldcode is geïntegreerd i</w:t>
            </w:r>
            <w:r w:rsidRPr="00A572B1">
              <w:t xml:space="preserve">n het primaire werkproces en </w:t>
            </w:r>
            <w:r>
              <w:t xml:space="preserve">vastgesteld </w:t>
            </w:r>
            <w:r>
              <w:t>door</w:t>
            </w:r>
            <w:r w:rsidRPr="00A572B1">
              <w:t xml:space="preserve"> </w:t>
            </w:r>
            <w:r>
              <w:t xml:space="preserve">de </w:t>
            </w:r>
            <w:r w:rsidRPr="00A572B1">
              <w:t>directie.</w:t>
            </w:r>
          </w:p>
        </w:tc>
        <w:tc>
          <w:tcPr>
            <w:tcW w:w="509" w:type="pct"/>
            <w:shd w:val="clear" w:color="auto" w:fill="auto"/>
          </w:tcPr>
          <w:p w14:paraId="121BAFD3" w14:textId="77777777" w:rsidR="0082579D" w:rsidRPr="00C903EE" w:rsidRDefault="0082579D" w:rsidP="003907A9">
            <w:pPr>
              <w:pStyle w:val="Standaardlinks0"/>
            </w:pPr>
          </w:p>
        </w:tc>
        <w:tc>
          <w:tcPr>
            <w:tcW w:w="509" w:type="pct"/>
            <w:shd w:val="clear" w:color="auto" w:fill="auto"/>
          </w:tcPr>
          <w:p w14:paraId="4B34FEAE" w14:textId="77777777" w:rsidR="0082579D" w:rsidRPr="00C903EE" w:rsidRDefault="0082579D" w:rsidP="003907A9">
            <w:pPr>
              <w:pStyle w:val="Standaardlinks0"/>
            </w:pPr>
          </w:p>
        </w:tc>
        <w:tc>
          <w:tcPr>
            <w:tcW w:w="508" w:type="pct"/>
            <w:shd w:val="clear" w:color="auto" w:fill="auto"/>
          </w:tcPr>
          <w:p w14:paraId="4B1B3F90" w14:textId="77777777" w:rsidR="0082579D" w:rsidRPr="00C903EE" w:rsidRDefault="0082579D" w:rsidP="003907A9">
            <w:pPr>
              <w:pStyle w:val="Standaardlinks0"/>
            </w:pPr>
          </w:p>
        </w:tc>
      </w:tr>
      <w:tr w:rsidR="0082579D" w:rsidRPr="00C903EE" w14:paraId="7AA62EA1" w14:textId="77777777" w:rsidTr="0082579D">
        <w:trPr>
          <w:trHeight w:val="567"/>
        </w:trPr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14:paraId="2A824ED3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6B4B7" w14:textId="77777777" w:rsidR="0082579D" w:rsidRPr="00C903EE" w:rsidRDefault="0082579D" w:rsidP="003907A9">
            <w:pPr>
              <w:pStyle w:val="Standaardlinks0"/>
            </w:pPr>
            <w:r>
              <w:t>De meldcode is opgenomen in</w:t>
            </w:r>
            <w:r w:rsidRPr="00A572B1">
              <w:t xml:space="preserve"> het kwaliteitsbeleid</w:t>
            </w:r>
            <w:r>
              <w:t>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561FB5EF" w14:textId="77777777" w:rsidR="0082579D" w:rsidRPr="00C903EE" w:rsidRDefault="0082579D" w:rsidP="003907A9">
            <w:pPr>
              <w:pStyle w:val="Standaardlinks0"/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1993696B" w14:textId="77777777" w:rsidR="0082579D" w:rsidRPr="00C903EE" w:rsidRDefault="0082579D" w:rsidP="003907A9">
            <w:pPr>
              <w:pStyle w:val="Standaardlinks0"/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14:paraId="473FEE4F" w14:textId="77777777" w:rsidR="0082579D" w:rsidRPr="00C903EE" w:rsidRDefault="0082579D" w:rsidP="003907A9">
            <w:pPr>
              <w:pStyle w:val="Standaardlinks0"/>
            </w:pPr>
          </w:p>
        </w:tc>
      </w:tr>
      <w:tr w:rsidR="0082579D" w:rsidRPr="00C903EE" w14:paraId="6D962736" w14:textId="77777777" w:rsidTr="0082579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7A232" w14:textId="77777777" w:rsidR="0082579D" w:rsidRPr="00C903EE" w:rsidRDefault="0082579D" w:rsidP="0082579D">
            <w:pPr>
              <w:pStyle w:val="Kop3"/>
            </w:pPr>
            <w:r>
              <w:t>B</w:t>
            </w:r>
            <w:r w:rsidRPr="00C903EE">
              <w:t>. Organiseren</w:t>
            </w:r>
            <w:r>
              <w:t xml:space="preserve"> en positioneren</w:t>
            </w:r>
          </w:p>
        </w:tc>
      </w:tr>
      <w:tr w:rsidR="0082579D" w:rsidRPr="00C903EE" w14:paraId="72F7A419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46B34A9" w14:textId="77777777" w:rsidR="0082579D" w:rsidRPr="00C903EE" w:rsidRDefault="0082579D" w:rsidP="0082579D">
            <w:pPr>
              <w:pStyle w:val="Lijstnummering"/>
              <w:numPr>
                <w:ilvl w:val="0"/>
                <w:numId w:val="56"/>
              </w:numPr>
            </w:pPr>
          </w:p>
        </w:tc>
        <w:tc>
          <w:tcPr>
            <w:tcW w:w="3305" w:type="pct"/>
            <w:shd w:val="clear" w:color="auto" w:fill="auto"/>
          </w:tcPr>
          <w:p w14:paraId="0FCFFC68" w14:textId="77777777" w:rsidR="0082579D" w:rsidRPr="00C903EE" w:rsidRDefault="0082579D" w:rsidP="003907A9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3912E06C" w14:textId="77777777" w:rsidR="0082579D" w:rsidRPr="00C903EE" w:rsidRDefault="0082579D" w:rsidP="003907A9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24386362" w14:textId="77777777" w:rsidR="0082579D" w:rsidRPr="00C903EE" w:rsidRDefault="0082579D" w:rsidP="003907A9">
            <w:pPr>
              <w:pStyle w:val="Kop5"/>
            </w:pPr>
            <w:r w:rsidRPr="00C903EE">
              <w:t>Wie:</w:t>
            </w:r>
          </w:p>
        </w:tc>
        <w:tc>
          <w:tcPr>
            <w:tcW w:w="508" w:type="pct"/>
            <w:shd w:val="clear" w:color="auto" w:fill="auto"/>
          </w:tcPr>
          <w:p w14:paraId="22495968" w14:textId="77777777" w:rsidR="0082579D" w:rsidRPr="00C903EE" w:rsidRDefault="0082579D" w:rsidP="003907A9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6733A8BD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15F5190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60C8CC2A" w14:textId="77777777" w:rsidR="0082579D" w:rsidRPr="00C903EE" w:rsidRDefault="0082579D" w:rsidP="003907A9">
            <w:pPr>
              <w:pStyle w:val="Standaardlinks0"/>
            </w:pPr>
            <w:r>
              <w:t>Er is een</w:t>
            </w:r>
            <w:r w:rsidRPr="001B039B">
              <w:t xml:space="preserve"> overzicht van de functies organisatie breed gekoppeld aan de competentieprofielen 1 t/m 4.</w:t>
            </w:r>
          </w:p>
        </w:tc>
        <w:tc>
          <w:tcPr>
            <w:tcW w:w="509" w:type="pct"/>
            <w:shd w:val="clear" w:color="auto" w:fill="auto"/>
          </w:tcPr>
          <w:p w14:paraId="124D52B5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B6AAF5D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06D652D0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1718897A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3DD36D2" w14:textId="77777777" w:rsidR="0082579D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188D002A" w14:textId="77777777" w:rsidR="0082579D" w:rsidRDefault="0082579D" w:rsidP="003907A9">
            <w:pPr>
              <w:pStyle w:val="Standaardlinks0"/>
            </w:pPr>
            <w:r>
              <w:t>Het</w:t>
            </w:r>
            <w:r w:rsidRPr="001B039B">
              <w:t xml:space="preserve"> taakprofiel aandachtsfunctionaris direct en indirect </w:t>
            </w:r>
            <w:r>
              <w:t xml:space="preserve">is </w:t>
            </w:r>
            <w:r w:rsidRPr="001B039B">
              <w:t xml:space="preserve">op maat </w:t>
            </w:r>
            <w:r>
              <w:t>ontwikkeld en vastgesteld door</w:t>
            </w:r>
            <w:r w:rsidRPr="001B039B">
              <w:t xml:space="preserve"> directie.</w:t>
            </w:r>
          </w:p>
        </w:tc>
        <w:tc>
          <w:tcPr>
            <w:tcW w:w="509" w:type="pct"/>
            <w:shd w:val="clear" w:color="auto" w:fill="auto"/>
          </w:tcPr>
          <w:p w14:paraId="744C17F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640F863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2585BFB7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0F52F9B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35ED76D" w14:textId="77777777" w:rsidR="0082579D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087B3CBB" w14:textId="77777777" w:rsidR="0082579D" w:rsidRDefault="0082579D" w:rsidP="003907A9">
            <w:pPr>
              <w:pStyle w:val="Standaardlinks0"/>
            </w:pPr>
            <w:r>
              <w:t>Er is</w:t>
            </w:r>
            <w:r w:rsidRPr="001B039B">
              <w:t xml:space="preserve"> een agressie- en calamiteitenprotocol om de fysieke veiligheid te borgen voor medewerkers.</w:t>
            </w:r>
          </w:p>
        </w:tc>
        <w:tc>
          <w:tcPr>
            <w:tcW w:w="509" w:type="pct"/>
            <w:shd w:val="clear" w:color="auto" w:fill="auto"/>
          </w:tcPr>
          <w:p w14:paraId="7AD5740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69D0FCD1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117FDAAF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22495A05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09304AD1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1CB2F0FF" w14:textId="77777777" w:rsidR="0082579D" w:rsidRPr="00C903EE" w:rsidRDefault="0082579D" w:rsidP="003907A9">
            <w:pPr>
              <w:pStyle w:val="Standaardlinks0"/>
            </w:pPr>
            <w:r>
              <w:t>H</w:t>
            </w:r>
            <w:r w:rsidRPr="001B039B">
              <w:t xml:space="preserve">et agressie- en calamiteitenprotocol om de fysieke veiligheid te borgen </w:t>
            </w:r>
            <w:r>
              <w:t xml:space="preserve">is </w:t>
            </w:r>
            <w:r w:rsidRPr="001B039B">
              <w:t xml:space="preserve">bekend </w:t>
            </w:r>
            <w:r>
              <w:t xml:space="preserve">bij </w:t>
            </w:r>
            <w:r w:rsidRPr="001B039B">
              <w:t xml:space="preserve">directie </w:t>
            </w:r>
            <w:r>
              <w:t xml:space="preserve">, management </w:t>
            </w:r>
            <w:r w:rsidRPr="001B039B">
              <w:t>en medewerkers.</w:t>
            </w:r>
          </w:p>
        </w:tc>
        <w:tc>
          <w:tcPr>
            <w:tcW w:w="509" w:type="pct"/>
            <w:shd w:val="clear" w:color="auto" w:fill="auto"/>
          </w:tcPr>
          <w:p w14:paraId="17D41B8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F3139C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5E815290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16CBCA13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30F4762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2C326514" w14:textId="77777777" w:rsidR="0082579D" w:rsidRPr="00C903EE" w:rsidRDefault="0082579D" w:rsidP="003907A9">
            <w:pPr>
              <w:pStyle w:val="Standaardlinks0"/>
            </w:pPr>
            <w:r>
              <w:t>Er is</w:t>
            </w:r>
            <w:r w:rsidRPr="001B039B">
              <w:t xml:space="preserve"> een nazorg structuur om de emotionele veiligheid te borgen voor medewerkers</w:t>
            </w:r>
            <w:r>
              <w:t>.</w:t>
            </w:r>
          </w:p>
        </w:tc>
        <w:tc>
          <w:tcPr>
            <w:tcW w:w="509" w:type="pct"/>
            <w:shd w:val="clear" w:color="auto" w:fill="auto"/>
          </w:tcPr>
          <w:p w14:paraId="245C6817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811FA33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34B820B7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FEA2C06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313FA38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5072FC7A" w14:textId="02C024E2" w:rsidR="0082579D" w:rsidRPr="00C903EE" w:rsidRDefault="0082579D" w:rsidP="003907A9">
            <w:pPr>
              <w:pStyle w:val="Standaardlinks0"/>
            </w:pPr>
            <w:r>
              <w:t>De</w:t>
            </w:r>
            <w:r w:rsidRPr="001B039B">
              <w:t xml:space="preserve"> nazorg structuur om de emotionele veiligheid te borgen voor medewerkers </w:t>
            </w:r>
            <w:r>
              <w:t xml:space="preserve">is </w:t>
            </w:r>
            <w:r w:rsidRPr="001B039B">
              <w:t xml:space="preserve">bekend </w:t>
            </w:r>
            <w:r>
              <w:t xml:space="preserve">bij </w:t>
            </w:r>
            <w:r w:rsidRPr="001B039B">
              <w:t xml:space="preserve">directie </w:t>
            </w:r>
            <w:r>
              <w:t xml:space="preserve"> management </w:t>
            </w:r>
            <w:r w:rsidRPr="001B039B">
              <w:t>en medewerkers.</w:t>
            </w:r>
          </w:p>
        </w:tc>
        <w:tc>
          <w:tcPr>
            <w:tcW w:w="509" w:type="pct"/>
            <w:shd w:val="clear" w:color="auto" w:fill="auto"/>
          </w:tcPr>
          <w:p w14:paraId="664CAEC2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6D92B89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7467DF30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1A26442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65A7B81F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6E4F6436" w14:textId="77777777" w:rsidR="0082579D" w:rsidRPr="00C903EE" w:rsidRDefault="0082579D" w:rsidP="003907A9">
            <w:pPr>
              <w:pStyle w:val="Standaardlinks0"/>
            </w:pPr>
            <w:r>
              <w:t>De</w:t>
            </w:r>
            <w:r w:rsidRPr="00595BEE">
              <w:t xml:space="preserve"> positionering van de directe en indirecte aandachtsfunctionaris </w:t>
            </w:r>
            <w:r>
              <w:t>is vastgesteld door directie.</w:t>
            </w:r>
          </w:p>
        </w:tc>
        <w:tc>
          <w:tcPr>
            <w:tcW w:w="509" w:type="pct"/>
            <w:shd w:val="clear" w:color="auto" w:fill="auto"/>
          </w:tcPr>
          <w:p w14:paraId="76C45B7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65F6853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3D61F28A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1BF44DE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DED26CB" w14:textId="77777777" w:rsidR="0082579D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0DF62C77" w14:textId="77777777" w:rsidR="0082579D" w:rsidRDefault="0082579D" w:rsidP="003907A9">
            <w:pPr>
              <w:pStyle w:val="Standaardlinks0"/>
            </w:pPr>
            <w:r>
              <w:t>De</w:t>
            </w:r>
            <w:r w:rsidRPr="00595BEE">
              <w:t xml:space="preserve"> uren en faciliteiten voor het uitvoeren van de taak aandachtsfunctionaris indirect </w:t>
            </w:r>
            <w:r>
              <w:t xml:space="preserve">zijn vastgesteld door </w:t>
            </w:r>
            <w:r w:rsidRPr="00595BEE">
              <w:t>directie.</w:t>
            </w:r>
          </w:p>
        </w:tc>
        <w:tc>
          <w:tcPr>
            <w:tcW w:w="509" w:type="pct"/>
            <w:shd w:val="clear" w:color="auto" w:fill="auto"/>
          </w:tcPr>
          <w:p w14:paraId="3814884E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6BDDF39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3D293ABD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074CC73F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51C1DB2E" w14:textId="77777777" w:rsidR="0082579D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15024828" w14:textId="77777777" w:rsidR="0082579D" w:rsidRDefault="0082579D" w:rsidP="003907A9">
            <w:pPr>
              <w:pStyle w:val="Standaardlinks0"/>
            </w:pPr>
            <w:r>
              <w:t>De</w:t>
            </w:r>
            <w:r w:rsidRPr="00595BEE">
              <w:t xml:space="preserve"> uren en faciliteiten voor het uitvoeren van de taak aandachtsfunctionaris direct </w:t>
            </w:r>
            <w:r>
              <w:t xml:space="preserve">zijn vastgesteld door </w:t>
            </w:r>
            <w:r w:rsidRPr="00595BEE">
              <w:t>directie.</w:t>
            </w:r>
          </w:p>
        </w:tc>
        <w:tc>
          <w:tcPr>
            <w:tcW w:w="509" w:type="pct"/>
            <w:shd w:val="clear" w:color="auto" w:fill="auto"/>
          </w:tcPr>
          <w:p w14:paraId="1396F53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149C175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258F58C2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A78E839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7847B47" w14:textId="77777777" w:rsidR="0082579D" w:rsidRPr="00C903EE" w:rsidRDefault="0082579D" w:rsidP="0082579D">
            <w:pPr>
              <w:pStyle w:val="Lijstnummering"/>
            </w:pPr>
          </w:p>
        </w:tc>
        <w:tc>
          <w:tcPr>
            <w:tcW w:w="3305" w:type="pct"/>
            <w:shd w:val="clear" w:color="auto" w:fill="auto"/>
          </w:tcPr>
          <w:p w14:paraId="207A1FE5" w14:textId="77777777" w:rsidR="0082579D" w:rsidRPr="00C903EE" w:rsidRDefault="0082579D" w:rsidP="003907A9">
            <w:pPr>
              <w:pStyle w:val="Standaardlinks0"/>
            </w:pPr>
            <w:r>
              <w:t>Er zijn</w:t>
            </w:r>
            <w:r w:rsidRPr="00595BEE">
              <w:t xml:space="preserve"> één of meerdere aandachtsfunctionarissen aangesteld.</w:t>
            </w:r>
          </w:p>
        </w:tc>
        <w:tc>
          <w:tcPr>
            <w:tcW w:w="509" w:type="pct"/>
            <w:shd w:val="clear" w:color="auto" w:fill="auto"/>
          </w:tcPr>
          <w:p w14:paraId="08266A83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4D0E0A8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1C47684C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2252FFC5" w14:textId="77777777" w:rsidTr="0082579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769CF" w14:textId="77777777" w:rsidR="0082579D" w:rsidRPr="00C903EE" w:rsidRDefault="0082579D" w:rsidP="0082579D">
            <w:pPr>
              <w:pStyle w:val="Kop3"/>
            </w:pPr>
            <w:r>
              <w:t>C. Communiceren en profileren</w:t>
            </w:r>
          </w:p>
        </w:tc>
      </w:tr>
      <w:tr w:rsidR="0082579D" w:rsidRPr="00C903EE" w14:paraId="22C9C46C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652AECAD" w14:textId="77777777" w:rsidR="0082579D" w:rsidRPr="00C903EE" w:rsidRDefault="0082579D" w:rsidP="003907A9">
            <w:pPr>
              <w:pStyle w:val="Kop5"/>
            </w:pPr>
          </w:p>
        </w:tc>
        <w:tc>
          <w:tcPr>
            <w:tcW w:w="3305" w:type="pct"/>
            <w:shd w:val="clear" w:color="auto" w:fill="auto"/>
          </w:tcPr>
          <w:p w14:paraId="3AC686F5" w14:textId="77777777" w:rsidR="0082579D" w:rsidRPr="00C903EE" w:rsidRDefault="0082579D" w:rsidP="003907A9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6D34443C" w14:textId="77777777" w:rsidR="0082579D" w:rsidRPr="00C903EE" w:rsidRDefault="0082579D" w:rsidP="003907A9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092AACD5" w14:textId="77777777" w:rsidR="0082579D" w:rsidRPr="00C903EE" w:rsidRDefault="0082579D" w:rsidP="003907A9">
            <w:pPr>
              <w:pStyle w:val="Kop5"/>
            </w:pPr>
            <w:r w:rsidRPr="00C903EE">
              <w:t>Wie:</w:t>
            </w:r>
          </w:p>
        </w:tc>
        <w:tc>
          <w:tcPr>
            <w:tcW w:w="508" w:type="pct"/>
            <w:shd w:val="clear" w:color="auto" w:fill="auto"/>
          </w:tcPr>
          <w:p w14:paraId="45352498" w14:textId="77777777" w:rsidR="0082579D" w:rsidRPr="00C903EE" w:rsidRDefault="0082579D" w:rsidP="003907A9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090AC661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181179C" w14:textId="77777777" w:rsidR="0082579D" w:rsidRPr="00C903EE" w:rsidRDefault="0082579D" w:rsidP="0082579D">
            <w:pPr>
              <w:pStyle w:val="Lijstnummering"/>
              <w:numPr>
                <w:ilvl w:val="0"/>
                <w:numId w:val="49"/>
              </w:numPr>
              <w:tabs>
                <w:tab w:val="clear" w:pos="454"/>
                <w:tab w:val="num" w:pos="360"/>
              </w:tabs>
              <w:spacing w:line="300" w:lineRule="exact"/>
              <w:ind w:left="360" w:hanging="360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073943D" w14:textId="77777777" w:rsidR="0082579D" w:rsidRPr="00C903EE" w:rsidRDefault="0082579D" w:rsidP="003907A9">
            <w:pPr>
              <w:pStyle w:val="Standaardlinks0"/>
            </w:pPr>
            <w:r>
              <w:t>A</w:t>
            </w:r>
            <w:r w:rsidRPr="00783123">
              <w:t>lle medewerkers</w:t>
            </w:r>
            <w:r>
              <w:t xml:space="preserve"> zijn op de hoogte van </w:t>
            </w:r>
            <w:r w:rsidRPr="00783123">
              <w:t>de meldcode</w:t>
            </w:r>
            <w:r>
              <w:t xml:space="preserve"> met afwegingskader.</w:t>
            </w:r>
          </w:p>
        </w:tc>
        <w:tc>
          <w:tcPr>
            <w:tcW w:w="509" w:type="pct"/>
            <w:shd w:val="clear" w:color="auto" w:fill="auto"/>
          </w:tcPr>
          <w:p w14:paraId="2D0AB67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F069F97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0C252BB7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53560D76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D6921DE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5454F6A" w14:textId="77777777" w:rsidR="0082579D" w:rsidRPr="00C903EE" w:rsidRDefault="0082579D" w:rsidP="003907A9">
            <w:pPr>
              <w:pStyle w:val="Standaardlinks0"/>
            </w:pPr>
            <w:r>
              <w:t>A</w:t>
            </w:r>
            <w:r w:rsidRPr="00783123">
              <w:t xml:space="preserve">lle medewerkers </w:t>
            </w:r>
            <w:r>
              <w:t>zijn op de hoogte van het agressie- en calamiteitenprotocol voor de fysieke veiligheid.</w:t>
            </w:r>
          </w:p>
        </w:tc>
        <w:tc>
          <w:tcPr>
            <w:tcW w:w="509" w:type="pct"/>
            <w:shd w:val="clear" w:color="auto" w:fill="auto"/>
          </w:tcPr>
          <w:p w14:paraId="0F04627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642114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1F9C8990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2A4B2970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74F51E4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2905727E" w14:textId="77777777" w:rsidR="0082579D" w:rsidRPr="00C903EE" w:rsidRDefault="0082579D" w:rsidP="003907A9">
            <w:pPr>
              <w:pStyle w:val="Standaardlinks0"/>
            </w:pPr>
            <w:r>
              <w:t>A</w:t>
            </w:r>
            <w:r w:rsidRPr="00783123">
              <w:t>lle medewerkers</w:t>
            </w:r>
            <w:r>
              <w:t xml:space="preserve"> zijn op de hoogte van de nazorgstructuur voor de emotionele veiligheid.</w:t>
            </w:r>
          </w:p>
        </w:tc>
        <w:tc>
          <w:tcPr>
            <w:tcW w:w="509" w:type="pct"/>
            <w:shd w:val="clear" w:color="auto" w:fill="auto"/>
          </w:tcPr>
          <w:p w14:paraId="51061D5F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2A197EE" w14:textId="77777777" w:rsidR="0082579D" w:rsidRPr="00C903EE" w:rsidRDefault="0082579D" w:rsidP="003907A9">
            <w:pPr>
              <w:jc w:val="left"/>
            </w:pPr>
          </w:p>
        </w:tc>
        <w:tc>
          <w:tcPr>
            <w:tcW w:w="508" w:type="pct"/>
            <w:shd w:val="clear" w:color="auto" w:fill="auto"/>
          </w:tcPr>
          <w:p w14:paraId="3C4E7E2C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3F95CE32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0818428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23B7BD89" w14:textId="77777777" w:rsidR="0082579D" w:rsidRPr="00C903EE" w:rsidRDefault="0082579D" w:rsidP="003907A9">
            <w:pPr>
              <w:pStyle w:val="Standaardlinks0"/>
            </w:pPr>
            <w:r>
              <w:t>Betrokkenen</w:t>
            </w:r>
            <w:r w:rsidRPr="00783123">
              <w:t xml:space="preserve"> medewerkers </w:t>
            </w:r>
            <w:r>
              <w:t xml:space="preserve">zijn op de hoogte van de </w:t>
            </w:r>
            <w:r w:rsidRPr="00FC642D">
              <w:t xml:space="preserve">adviesverantwoordelijkheid binnen de organisatie </w:t>
            </w:r>
            <w:r w:rsidRPr="00783123">
              <w:t>te vinden</w:t>
            </w:r>
            <w:r>
              <w:t>.</w:t>
            </w:r>
          </w:p>
        </w:tc>
        <w:tc>
          <w:tcPr>
            <w:tcW w:w="509" w:type="pct"/>
            <w:shd w:val="clear" w:color="auto" w:fill="auto"/>
          </w:tcPr>
          <w:p w14:paraId="5AEF03C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E71401D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9B5694E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321BB67E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1142D8D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2E246ED0" w14:textId="77777777" w:rsidR="0082579D" w:rsidRPr="00C903EE" w:rsidRDefault="0082579D" w:rsidP="003907A9">
            <w:pPr>
              <w:pStyle w:val="Standaardlinks0"/>
            </w:pPr>
            <w:r>
              <w:t>Alle medewerkers zijn op de hoogte van de in</w:t>
            </w:r>
            <w:r w:rsidRPr="00783123">
              <w:t xml:space="preserve">formatie om leerlingen, patiënten, cliënten, bezoekers en deelnemers </w:t>
            </w:r>
            <w:r>
              <w:t>t</w:t>
            </w:r>
            <w:r w:rsidRPr="00783123">
              <w:t>e informeren over de meldcode</w:t>
            </w:r>
            <w:r>
              <w:t>.</w:t>
            </w:r>
          </w:p>
        </w:tc>
        <w:tc>
          <w:tcPr>
            <w:tcW w:w="509" w:type="pct"/>
            <w:shd w:val="clear" w:color="auto" w:fill="auto"/>
          </w:tcPr>
          <w:p w14:paraId="46BBED51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28C0867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12B384D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9701497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6C34D56A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1EC34F3" w14:textId="77777777" w:rsidR="0082579D" w:rsidRPr="00C903EE" w:rsidRDefault="0082579D" w:rsidP="003907A9">
            <w:pPr>
              <w:pStyle w:val="Standaardlinks0"/>
            </w:pPr>
            <w:r>
              <w:t>Alle medewerkers zijn op de hoogte van de adviesfunctie en bereikbaarheid van het team aandachtsfunctionarissen.</w:t>
            </w:r>
          </w:p>
        </w:tc>
        <w:tc>
          <w:tcPr>
            <w:tcW w:w="509" w:type="pct"/>
            <w:shd w:val="clear" w:color="auto" w:fill="auto"/>
          </w:tcPr>
          <w:p w14:paraId="1DB82845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CED985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1F90637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48BEAC2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6BD2CFEE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117FBD99" w14:textId="77777777" w:rsidR="0082579D" w:rsidRPr="00C903EE" w:rsidRDefault="0082579D" w:rsidP="003907A9">
            <w:pPr>
              <w:pStyle w:val="Standaardlinks0"/>
            </w:pPr>
            <w:r>
              <w:t xml:space="preserve">Medewerkers zijn op de hoogte van de </w:t>
            </w:r>
            <w:r w:rsidRPr="004E6423">
              <w:t>sociale kaart huiselijk geweld, (ex-)partnergeweld, kindermishandeling, ouderenmishandeling en/of schadelijke traditionele praktijken</w:t>
            </w:r>
            <w:r>
              <w:t>.</w:t>
            </w:r>
          </w:p>
        </w:tc>
        <w:tc>
          <w:tcPr>
            <w:tcW w:w="509" w:type="pct"/>
            <w:shd w:val="clear" w:color="auto" w:fill="auto"/>
          </w:tcPr>
          <w:p w14:paraId="6C994BD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FFFF004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8A7B307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26709169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6B9FECD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6870CEA5" w14:textId="77777777" w:rsidR="0082579D" w:rsidRPr="00C903EE" w:rsidRDefault="0082579D" w:rsidP="003907A9">
            <w:pPr>
              <w:pStyle w:val="Standaardlinks0"/>
            </w:pPr>
            <w:r>
              <w:t xml:space="preserve">Medewerkers zijn op de hoogte van </w:t>
            </w:r>
            <w:r w:rsidRPr="004E6423">
              <w:t>(</w:t>
            </w:r>
            <w:r>
              <w:t>I</w:t>
            </w:r>
            <w:r w:rsidRPr="004E6423">
              <w:t xml:space="preserve">nterne of externe) </w:t>
            </w:r>
            <w:r>
              <w:t>e</w:t>
            </w:r>
            <w:r w:rsidRPr="004E6423">
              <w:t>xpertise op vormen van huiselijk geweld die specialistische kennis vereisen</w:t>
            </w:r>
            <w:r>
              <w:t>.</w:t>
            </w:r>
          </w:p>
        </w:tc>
        <w:tc>
          <w:tcPr>
            <w:tcW w:w="509" w:type="pct"/>
            <w:shd w:val="clear" w:color="auto" w:fill="auto"/>
          </w:tcPr>
          <w:p w14:paraId="4AB4776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85617C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69DB8B01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2EE019EF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7874023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2AB45422" w14:textId="77777777" w:rsidR="0082579D" w:rsidRPr="00C903EE" w:rsidRDefault="0082579D" w:rsidP="003907A9">
            <w:pPr>
              <w:pStyle w:val="Standaardlinks0"/>
            </w:pPr>
            <w:r>
              <w:t xml:space="preserve">Medewerkers zijn op de hoogte van </w:t>
            </w:r>
            <w:r w:rsidRPr="004E6423">
              <w:t>(</w:t>
            </w:r>
            <w:r>
              <w:t>i</w:t>
            </w:r>
            <w:r w:rsidRPr="004E6423">
              <w:t xml:space="preserve">nterne of externe) expertise op vormen van huiselijk geweld die </w:t>
            </w:r>
            <w:r>
              <w:t>extra veiligheidsmaatregelen</w:t>
            </w:r>
            <w:r w:rsidRPr="004E6423">
              <w:t xml:space="preserve"> vereisen</w:t>
            </w:r>
            <w:r>
              <w:t>.</w:t>
            </w:r>
          </w:p>
        </w:tc>
        <w:tc>
          <w:tcPr>
            <w:tcW w:w="509" w:type="pct"/>
            <w:shd w:val="clear" w:color="auto" w:fill="auto"/>
          </w:tcPr>
          <w:p w14:paraId="630C78E3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08682D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3556A68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619FE6C7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664FACEE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19AA0EC4" w14:textId="77777777" w:rsidR="0082579D" w:rsidRDefault="0082579D" w:rsidP="003907A9">
            <w:pPr>
              <w:pStyle w:val="Standaardlinks0"/>
            </w:pPr>
            <w:r>
              <w:t>Medewerkers zijn op de hoogte van het juridisch kader bij het werken met de meldcode.</w:t>
            </w:r>
          </w:p>
        </w:tc>
        <w:tc>
          <w:tcPr>
            <w:tcW w:w="509" w:type="pct"/>
            <w:shd w:val="clear" w:color="auto" w:fill="auto"/>
          </w:tcPr>
          <w:p w14:paraId="2C0522B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5C10773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EBADC3C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08149B9C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E65393B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1C517D94" w14:textId="77777777" w:rsidR="0082579D" w:rsidRPr="00C903EE" w:rsidRDefault="0082579D" w:rsidP="003907A9">
            <w:pPr>
              <w:pStyle w:val="Standaardlinks0"/>
            </w:pPr>
            <w:r>
              <w:t>De</w:t>
            </w:r>
            <w:r w:rsidRPr="00783123">
              <w:t xml:space="preserve"> communicatieactiviteiten </w:t>
            </w:r>
            <w:r>
              <w:t xml:space="preserve">zijn </w:t>
            </w:r>
            <w:r w:rsidRPr="00783123">
              <w:t>per competentieprofiel uit</w:t>
            </w:r>
            <w:r>
              <w:t>gevoerd</w:t>
            </w:r>
            <w:r w:rsidRPr="00783123">
              <w:t xml:space="preserve"> voor zowel bestaande als nieuwe medewerkers.</w:t>
            </w:r>
          </w:p>
        </w:tc>
        <w:tc>
          <w:tcPr>
            <w:tcW w:w="509" w:type="pct"/>
            <w:shd w:val="clear" w:color="auto" w:fill="auto"/>
          </w:tcPr>
          <w:p w14:paraId="7D4B54E1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E042BD5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1125A08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210BD076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19A253B7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0372551F" w14:textId="77777777" w:rsidR="0082579D" w:rsidRPr="00C903EE" w:rsidRDefault="0082579D" w:rsidP="003907A9">
            <w:pPr>
              <w:pStyle w:val="Standaardlinks0"/>
            </w:pPr>
            <w:r>
              <w:t>In</w:t>
            </w:r>
            <w:r w:rsidRPr="00783123">
              <w:t xml:space="preserve">formatie om leerlingen, patiënten, cliënten, bezoekers en deelnemers </w:t>
            </w:r>
            <w:r>
              <w:t>t</w:t>
            </w:r>
            <w:r w:rsidRPr="00783123">
              <w:t xml:space="preserve">e informeren over de meldcode </w:t>
            </w:r>
            <w:r>
              <w:t>is ontwikkeld, vastgesteld door directie en gecommuniceerd.</w:t>
            </w:r>
          </w:p>
        </w:tc>
        <w:tc>
          <w:tcPr>
            <w:tcW w:w="509" w:type="pct"/>
            <w:shd w:val="clear" w:color="auto" w:fill="auto"/>
          </w:tcPr>
          <w:p w14:paraId="54383E3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CB85193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61E3CB6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53DAA7C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5D48F723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533DE35D" w14:textId="77777777" w:rsidR="0082579D" w:rsidRPr="00C903EE" w:rsidRDefault="0082579D" w:rsidP="003907A9">
            <w:pPr>
              <w:pStyle w:val="Standaardlinks0"/>
            </w:pPr>
            <w:r>
              <w:t>Het</w:t>
            </w:r>
            <w:r w:rsidRPr="00783123">
              <w:t xml:space="preserve"> communicatieplan is </w:t>
            </w:r>
            <w:r>
              <w:t xml:space="preserve">opgenomen </w:t>
            </w:r>
            <w:r w:rsidRPr="00783123">
              <w:t>in het communicatiebeleid van de organisatie</w:t>
            </w:r>
            <w:r>
              <w:t>.</w:t>
            </w:r>
          </w:p>
        </w:tc>
        <w:tc>
          <w:tcPr>
            <w:tcW w:w="509" w:type="pct"/>
            <w:shd w:val="clear" w:color="auto" w:fill="auto"/>
          </w:tcPr>
          <w:p w14:paraId="084844F9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578AC44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1996829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1491EDD5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59C23CB9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0BA07D2C" w14:textId="77777777" w:rsidR="0082579D" w:rsidRPr="00C903EE" w:rsidRDefault="0082579D" w:rsidP="003907A9">
            <w:pPr>
              <w:pStyle w:val="Standaardlinks0"/>
            </w:pPr>
            <w:r>
              <w:t>Er is een</w:t>
            </w:r>
            <w:r w:rsidRPr="00595BEE">
              <w:t xml:space="preserve"> pitch ontwikkeld </w:t>
            </w:r>
            <w:r>
              <w:t>om te p</w:t>
            </w:r>
            <w:r w:rsidRPr="00595BEE">
              <w:t>ositioneren als aandachtsfunctionaris.</w:t>
            </w:r>
          </w:p>
        </w:tc>
        <w:tc>
          <w:tcPr>
            <w:tcW w:w="509" w:type="pct"/>
            <w:shd w:val="clear" w:color="auto" w:fill="auto"/>
          </w:tcPr>
          <w:p w14:paraId="26EEAD0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D715158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6F4A6858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427CC04" w14:textId="77777777" w:rsidTr="0082579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1D5E6" w14:textId="77777777" w:rsidR="0082579D" w:rsidRPr="00C903EE" w:rsidRDefault="0082579D" w:rsidP="0082579D">
            <w:pPr>
              <w:pStyle w:val="Kop3"/>
            </w:pPr>
            <w:r>
              <w:lastRenderedPageBreak/>
              <w:t>D. Veiligheid organiseren</w:t>
            </w:r>
          </w:p>
        </w:tc>
      </w:tr>
      <w:tr w:rsidR="0082579D" w:rsidRPr="00C903EE" w14:paraId="5CD738EF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5CAB222" w14:textId="77777777" w:rsidR="0082579D" w:rsidRPr="00C903EE" w:rsidRDefault="0082579D" w:rsidP="003907A9">
            <w:pPr>
              <w:pStyle w:val="Kop5"/>
            </w:pPr>
          </w:p>
        </w:tc>
        <w:tc>
          <w:tcPr>
            <w:tcW w:w="3305" w:type="pct"/>
            <w:shd w:val="clear" w:color="auto" w:fill="auto"/>
          </w:tcPr>
          <w:p w14:paraId="3C20A5C8" w14:textId="77777777" w:rsidR="0082579D" w:rsidRPr="00C903EE" w:rsidRDefault="0082579D" w:rsidP="003907A9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4B84C4EB" w14:textId="77777777" w:rsidR="0082579D" w:rsidRPr="00C903EE" w:rsidRDefault="0082579D" w:rsidP="003907A9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3F834E5A" w14:textId="77777777" w:rsidR="0082579D" w:rsidRPr="00C903EE" w:rsidRDefault="0082579D" w:rsidP="003907A9">
            <w:pPr>
              <w:pStyle w:val="Kop5"/>
            </w:pPr>
            <w:r w:rsidRPr="00C903EE">
              <w:t>Wie:</w:t>
            </w:r>
          </w:p>
        </w:tc>
        <w:tc>
          <w:tcPr>
            <w:tcW w:w="509" w:type="pct"/>
            <w:shd w:val="clear" w:color="auto" w:fill="auto"/>
          </w:tcPr>
          <w:p w14:paraId="2B61AA83" w14:textId="77777777" w:rsidR="0082579D" w:rsidRPr="00C903EE" w:rsidRDefault="0082579D" w:rsidP="003907A9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580A5EB8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7AFFE64" w14:textId="77777777" w:rsidR="0082579D" w:rsidRPr="00C903EE" w:rsidRDefault="0082579D" w:rsidP="0082579D">
            <w:pPr>
              <w:pStyle w:val="Lijstnummering"/>
              <w:numPr>
                <w:ilvl w:val="0"/>
                <w:numId w:val="50"/>
              </w:numPr>
              <w:tabs>
                <w:tab w:val="clear" w:pos="454"/>
                <w:tab w:val="num" w:pos="360"/>
              </w:tabs>
              <w:spacing w:line="300" w:lineRule="exact"/>
              <w:ind w:left="360" w:hanging="360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5BF2CCD" w14:textId="77777777" w:rsidR="0082579D" w:rsidRPr="00C903EE" w:rsidRDefault="0082579D" w:rsidP="003907A9">
            <w:pPr>
              <w:pStyle w:val="Standaardlinks0"/>
            </w:pPr>
            <w:r>
              <w:t>De</w:t>
            </w:r>
            <w:r w:rsidRPr="004E6423">
              <w:t xml:space="preserve"> sociale kaart huiselijk geweld, (ex-)partnergeweld, kindermishandeling, ouderenmishandeling en/of schadelijke traditionele praktijken </w:t>
            </w:r>
            <w:r>
              <w:t xml:space="preserve">is </w:t>
            </w:r>
            <w:r w:rsidRPr="004E6423">
              <w:t>ontwikkel</w:t>
            </w:r>
            <w:r>
              <w:t>d.</w:t>
            </w:r>
          </w:p>
        </w:tc>
        <w:tc>
          <w:tcPr>
            <w:tcW w:w="509" w:type="pct"/>
            <w:shd w:val="clear" w:color="auto" w:fill="auto"/>
          </w:tcPr>
          <w:p w14:paraId="52269295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CD23D5D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888ED75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54D1D8D6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0E0A20C" w14:textId="77777777" w:rsidR="0082579D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64B55ABB" w14:textId="77777777" w:rsidR="0082579D" w:rsidRDefault="0082579D" w:rsidP="003907A9">
            <w:pPr>
              <w:pStyle w:val="Standaardlinks0"/>
            </w:pPr>
            <w:r w:rsidRPr="004E6423">
              <w:t>(</w:t>
            </w:r>
            <w:r>
              <w:t>I</w:t>
            </w:r>
            <w:r w:rsidRPr="004E6423">
              <w:t xml:space="preserve">nterne of externe) </w:t>
            </w:r>
            <w:r>
              <w:t>E</w:t>
            </w:r>
            <w:r w:rsidRPr="004E6423">
              <w:t>xpertise op vormen van huiselijk geweld die specialistische kennis vereisen</w:t>
            </w:r>
            <w:r>
              <w:t xml:space="preserve"> is in kaart gebracht en beschikbaar voor medewerkers.</w:t>
            </w:r>
          </w:p>
        </w:tc>
        <w:tc>
          <w:tcPr>
            <w:tcW w:w="509" w:type="pct"/>
            <w:shd w:val="clear" w:color="auto" w:fill="auto"/>
          </w:tcPr>
          <w:p w14:paraId="1C66B6DD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B820A9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6DCEF37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6C371AE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11786B01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53ADAFFF" w14:textId="77777777" w:rsidR="0082579D" w:rsidRPr="00C903EE" w:rsidRDefault="0082579D" w:rsidP="003907A9">
            <w:pPr>
              <w:pStyle w:val="Standaardlinks0"/>
            </w:pPr>
            <w:r w:rsidRPr="004E6423">
              <w:t>(</w:t>
            </w:r>
            <w:r>
              <w:t>I</w:t>
            </w:r>
            <w:r w:rsidRPr="004E6423">
              <w:t xml:space="preserve">nterne of externe) </w:t>
            </w:r>
            <w:r>
              <w:t>E</w:t>
            </w:r>
            <w:r w:rsidRPr="004E6423">
              <w:t xml:space="preserve">xpertise op vormen van huiselijk geweld die </w:t>
            </w:r>
            <w:r>
              <w:t>extra veiligheidsmaatregelen</w:t>
            </w:r>
            <w:r w:rsidRPr="004E6423">
              <w:t xml:space="preserve"> vereisen</w:t>
            </w:r>
            <w:r>
              <w:t xml:space="preserve"> is in kaart gebracht en beschikbaar voor medewerkers.</w:t>
            </w:r>
          </w:p>
        </w:tc>
        <w:tc>
          <w:tcPr>
            <w:tcW w:w="509" w:type="pct"/>
            <w:shd w:val="clear" w:color="auto" w:fill="auto"/>
          </w:tcPr>
          <w:p w14:paraId="4945B10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1A5999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901D7E0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332E7F7F" w14:textId="77777777" w:rsidTr="0082579D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FB1F" w14:textId="77777777" w:rsidR="0082579D" w:rsidRPr="00C903EE" w:rsidRDefault="0082579D" w:rsidP="0082579D">
            <w:pPr>
              <w:pStyle w:val="Kop3"/>
            </w:pPr>
            <w:r>
              <w:t>E. Handelen volgens het juridisch kader</w:t>
            </w:r>
          </w:p>
        </w:tc>
      </w:tr>
      <w:tr w:rsidR="0082579D" w:rsidRPr="00C903EE" w14:paraId="37EE5FB7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19DDFD8F" w14:textId="77777777" w:rsidR="0082579D" w:rsidRPr="00C903EE" w:rsidRDefault="0082579D" w:rsidP="003907A9">
            <w:pPr>
              <w:pStyle w:val="Kop5"/>
            </w:pPr>
          </w:p>
        </w:tc>
        <w:tc>
          <w:tcPr>
            <w:tcW w:w="3305" w:type="pct"/>
            <w:shd w:val="clear" w:color="auto" w:fill="auto"/>
          </w:tcPr>
          <w:p w14:paraId="7455294B" w14:textId="77777777" w:rsidR="0082579D" w:rsidRPr="00C903EE" w:rsidRDefault="0082579D" w:rsidP="003907A9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021E13FE" w14:textId="77777777" w:rsidR="0082579D" w:rsidRPr="00C903EE" w:rsidRDefault="0082579D" w:rsidP="003907A9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56F1A068" w14:textId="77777777" w:rsidR="0082579D" w:rsidRPr="00C903EE" w:rsidRDefault="0082579D" w:rsidP="003907A9">
            <w:pPr>
              <w:pStyle w:val="Kop5"/>
            </w:pPr>
            <w:r w:rsidRPr="00C903EE">
              <w:t>Wie:</w:t>
            </w:r>
          </w:p>
        </w:tc>
        <w:tc>
          <w:tcPr>
            <w:tcW w:w="509" w:type="pct"/>
            <w:shd w:val="clear" w:color="auto" w:fill="auto"/>
          </w:tcPr>
          <w:p w14:paraId="0EA3AB46" w14:textId="77777777" w:rsidR="0082579D" w:rsidRPr="00C903EE" w:rsidRDefault="0082579D" w:rsidP="003907A9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18A7B67F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EDACDAA" w14:textId="77777777" w:rsidR="0082579D" w:rsidRPr="00C903EE" w:rsidRDefault="0082579D" w:rsidP="0082579D">
            <w:pPr>
              <w:pStyle w:val="Lijstnummering"/>
              <w:numPr>
                <w:ilvl w:val="0"/>
                <w:numId w:val="51"/>
              </w:numPr>
              <w:tabs>
                <w:tab w:val="clear" w:pos="454"/>
                <w:tab w:val="num" w:pos="360"/>
              </w:tabs>
              <w:spacing w:line="300" w:lineRule="exact"/>
              <w:ind w:left="360" w:hanging="360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3B10D8F6" w14:textId="77777777" w:rsidR="0082579D" w:rsidRPr="00C903EE" w:rsidRDefault="0082579D" w:rsidP="003907A9">
            <w:pPr>
              <w:pStyle w:val="Standaardlinks0"/>
            </w:pPr>
            <w:r>
              <w:t>M</w:t>
            </w:r>
            <w:r w:rsidRPr="0052551E">
              <w:t xml:space="preserve">edewerkers competentieprofiel 1, 2, 3 en 4 </w:t>
            </w:r>
            <w:r>
              <w:t xml:space="preserve">zijn </w:t>
            </w:r>
            <w:r w:rsidRPr="0052551E">
              <w:t>op de hoogte van het juridisch en organisatiekader rondom mondeling en schriftelijk informatie delen in de stappen 1 t/m 5.</w:t>
            </w:r>
          </w:p>
        </w:tc>
        <w:tc>
          <w:tcPr>
            <w:tcW w:w="509" w:type="pct"/>
            <w:shd w:val="clear" w:color="auto" w:fill="auto"/>
          </w:tcPr>
          <w:p w14:paraId="106025E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539B65F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BA3740C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26ACCE9B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510DA35" w14:textId="77777777" w:rsidR="0082579D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22902CAD" w14:textId="77777777" w:rsidR="0082579D" w:rsidRDefault="0082579D" w:rsidP="003907A9">
            <w:pPr>
              <w:pStyle w:val="Standaardlinks0"/>
            </w:pPr>
            <w:r>
              <w:t>M</w:t>
            </w:r>
            <w:r w:rsidRPr="0052551E">
              <w:t xml:space="preserve">edewerkers competentieprofiel 2, 3 en 4 </w:t>
            </w:r>
            <w:r>
              <w:t xml:space="preserve">zijn </w:t>
            </w:r>
            <w:r w:rsidRPr="0052551E">
              <w:t>op de hoogte  van het juridisch en organisatiekader  rondom informatie verwerken in het dossier en in verslaglegging naar derden in de stappen 1 t/m 5.</w:t>
            </w:r>
          </w:p>
        </w:tc>
        <w:tc>
          <w:tcPr>
            <w:tcW w:w="509" w:type="pct"/>
            <w:shd w:val="clear" w:color="auto" w:fill="auto"/>
          </w:tcPr>
          <w:p w14:paraId="100EA14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C4DA54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69CADDD3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FD41278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E7ED9D0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7376E1AB" w14:textId="77777777" w:rsidR="0082579D" w:rsidRPr="00C903EE" w:rsidRDefault="0082579D" w:rsidP="003907A9">
            <w:pPr>
              <w:pStyle w:val="Standaardlinks0"/>
            </w:pPr>
            <w:r>
              <w:t>Medewerkers</w:t>
            </w:r>
            <w:r w:rsidRPr="0052551E">
              <w:t xml:space="preserve"> competentieprofiel 2, 3 en 4 </w:t>
            </w:r>
            <w:r>
              <w:t xml:space="preserve">zijn </w:t>
            </w:r>
            <w:r w:rsidRPr="0052551E">
              <w:t>op de hoogte  van het juridisch en organisatiekader rondom het organiseren van hulp in stap 5.</w:t>
            </w:r>
          </w:p>
        </w:tc>
        <w:tc>
          <w:tcPr>
            <w:tcW w:w="509" w:type="pct"/>
            <w:shd w:val="clear" w:color="auto" w:fill="auto"/>
          </w:tcPr>
          <w:p w14:paraId="32BC468C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BEB323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8F23B28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AAF236C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15D5747E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38E2B2A8" w14:textId="77777777" w:rsidR="0082579D" w:rsidRPr="00C903EE" w:rsidRDefault="0082579D" w:rsidP="003907A9">
            <w:pPr>
              <w:pStyle w:val="Standaardlinks0"/>
            </w:pPr>
            <w:r>
              <w:t>M</w:t>
            </w:r>
            <w:r w:rsidRPr="007A669D">
              <w:t>edewerkers competentieprofiel 2, 3 en 4 op de hoogte zijn van het juridisch en organisatiekader rondom het melden bij Veilig Thuis in stap 5.</w:t>
            </w:r>
          </w:p>
        </w:tc>
        <w:tc>
          <w:tcPr>
            <w:tcW w:w="509" w:type="pct"/>
            <w:shd w:val="clear" w:color="auto" w:fill="auto"/>
          </w:tcPr>
          <w:p w14:paraId="6BECA94D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127D9BE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0D94815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1F6DA9F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BEEBF40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512BCBFF" w14:textId="77777777" w:rsidR="0082579D" w:rsidRPr="00C903EE" w:rsidRDefault="0082579D" w:rsidP="003907A9">
            <w:pPr>
              <w:pStyle w:val="Standaardlinks0"/>
            </w:pPr>
            <w:r>
              <w:t>M</w:t>
            </w:r>
            <w:r w:rsidRPr="007A669D">
              <w:t>edewerkers competentieprofiel 2, 3 en 4 op de hoogte zijn van het meldrecht naar Veilig Thuis en de Raad voor de Kinderbescherming in relatie tot het beroepsgeheim.</w:t>
            </w:r>
          </w:p>
        </w:tc>
        <w:tc>
          <w:tcPr>
            <w:tcW w:w="509" w:type="pct"/>
            <w:shd w:val="clear" w:color="auto" w:fill="auto"/>
          </w:tcPr>
          <w:p w14:paraId="183DD5FF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74761BE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87D8227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16ED909C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62DF867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C9F5DCF" w14:textId="77777777" w:rsidR="0082579D" w:rsidRPr="00C903EE" w:rsidRDefault="0082579D" w:rsidP="003907A9">
            <w:pPr>
              <w:pStyle w:val="Standaardlinks0"/>
            </w:pPr>
            <w:r w:rsidRPr="007A669D">
              <w:t xml:space="preserve">Indien </w:t>
            </w:r>
            <w:r>
              <w:t>relevant</w:t>
            </w:r>
            <w:r w:rsidRPr="007A669D">
              <w:t xml:space="preserve">: </w:t>
            </w:r>
            <w:r>
              <w:t>M</w:t>
            </w:r>
            <w:r w:rsidRPr="007A669D">
              <w:t>edewerkers competentieprofiel 2, 3 en 4  op de hoogte zijn van de informatieplicht van de Gecertificeerde Instelling (Jeugdbescherming) bij het opvragen van informatie vanuit de jeugdbeschermer in relatie tot het beroepsgeheim.</w:t>
            </w:r>
          </w:p>
        </w:tc>
        <w:tc>
          <w:tcPr>
            <w:tcW w:w="509" w:type="pct"/>
            <w:shd w:val="clear" w:color="auto" w:fill="auto"/>
          </w:tcPr>
          <w:p w14:paraId="18DEB89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35C9CB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2F54891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682C1CE7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2D1716A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27F8B797" w14:textId="77777777" w:rsidR="0082579D" w:rsidRPr="00C903EE" w:rsidRDefault="0082579D" w:rsidP="003907A9">
            <w:pPr>
              <w:pStyle w:val="Standaardlinks0"/>
            </w:pPr>
            <w:r w:rsidRPr="007A669D">
              <w:t xml:space="preserve">Indien </w:t>
            </w:r>
            <w:r>
              <w:t>relevant</w:t>
            </w:r>
            <w:r w:rsidRPr="007A669D">
              <w:t xml:space="preserve">: </w:t>
            </w:r>
            <w:r>
              <w:t>M</w:t>
            </w:r>
            <w:r w:rsidRPr="007A669D">
              <w:t>edewerkers competentieprofiel 2, 3 en 4 op de hoogte zijn van het informatierecht naar de Gecertificeerde Instelling (Jeugdbescherming) bij het delen van informatie vanuit de professional in relatie tot het beroepsgeheim.</w:t>
            </w:r>
          </w:p>
        </w:tc>
        <w:tc>
          <w:tcPr>
            <w:tcW w:w="509" w:type="pct"/>
            <w:shd w:val="clear" w:color="auto" w:fill="auto"/>
          </w:tcPr>
          <w:p w14:paraId="0BA7EBA8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40850A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E0B7249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A1BF4E2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F5DC792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BBE1D55" w14:textId="77777777" w:rsidR="0082579D" w:rsidRPr="00C903EE" w:rsidRDefault="0082579D" w:rsidP="003907A9">
            <w:pPr>
              <w:pStyle w:val="Standaardlinks0"/>
            </w:pPr>
            <w:r w:rsidRPr="007A669D">
              <w:t xml:space="preserve">Indien </w:t>
            </w:r>
            <w:r>
              <w:t>relevant</w:t>
            </w:r>
            <w:r w:rsidRPr="007A669D">
              <w:t xml:space="preserve">: </w:t>
            </w:r>
            <w:r>
              <w:t>M</w:t>
            </w:r>
            <w:r w:rsidRPr="007A669D">
              <w:t>edewerkers competentieprofiel 2 en 3 op de hoogte zijn van het juridisch kader rondom ouderlijk gezag en voogdij.</w:t>
            </w:r>
          </w:p>
        </w:tc>
        <w:tc>
          <w:tcPr>
            <w:tcW w:w="509" w:type="pct"/>
            <w:shd w:val="clear" w:color="auto" w:fill="auto"/>
          </w:tcPr>
          <w:p w14:paraId="577811EE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454BF5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23C3076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0F881A1F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D8E7006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C6C5B90" w14:textId="77777777" w:rsidR="0082579D" w:rsidRPr="00C903EE" w:rsidRDefault="0082579D" w:rsidP="003907A9">
            <w:pPr>
              <w:pStyle w:val="Standaardlinks0"/>
            </w:pPr>
            <w:r w:rsidRPr="007A669D">
              <w:t xml:space="preserve">Indien </w:t>
            </w:r>
            <w:r>
              <w:t>relevant</w:t>
            </w:r>
            <w:r w:rsidRPr="007A669D">
              <w:t xml:space="preserve">: </w:t>
            </w:r>
            <w:r>
              <w:t>M</w:t>
            </w:r>
            <w:r w:rsidRPr="007A669D">
              <w:t>edewerkers competentieprofiel 2 en 3 op de hoogte zijn van het juridisch kader rondom onderbewindstelling, ondercuratelestelling en mentorschap</w:t>
            </w:r>
          </w:p>
        </w:tc>
        <w:tc>
          <w:tcPr>
            <w:tcW w:w="509" w:type="pct"/>
            <w:shd w:val="clear" w:color="auto" w:fill="auto"/>
          </w:tcPr>
          <w:p w14:paraId="740184C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95045A5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78CCC58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6A092191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35EDC0B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192C8876" w14:textId="77777777" w:rsidR="0082579D" w:rsidRDefault="0082579D" w:rsidP="003907A9">
            <w:pPr>
              <w:pStyle w:val="Standaardlinks0"/>
            </w:pPr>
            <w:r>
              <w:t>Juridische informatie is ontwikkeld en beschikbaar voor medewerkers.</w:t>
            </w:r>
          </w:p>
        </w:tc>
        <w:tc>
          <w:tcPr>
            <w:tcW w:w="509" w:type="pct"/>
            <w:shd w:val="clear" w:color="auto" w:fill="auto"/>
          </w:tcPr>
          <w:p w14:paraId="5C7BD11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5111801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BD29E20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DC2446E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B599FBF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38526E0E" w14:textId="77777777" w:rsidR="0082579D" w:rsidRDefault="0082579D" w:rsidP="003907A9">
            <w:pPr>
              <w:pStyle w:val="Standaardlinks0"/>
            </w:pPr>
            <w:r>
              <w:t xml:space="preserve">Het </w:t>
            </w:r>
            <w:r w:rsidRPr="007A669D">
              <w:t>dossier waarin informatie wordt vastgelegd</w:t>
            </w:r>
            <w:r>
              <w:t xml:space="preserve"> is beveiligd.</w:t>
            </w:r>
          </w:p>
        </w:tc>
        <w:tc>
          <w:tcPr>
            <w:tcW w:w="509" w:type="pct"/>
            <w:shd w:val="clear" w:color="auto" w:fill="auto"/>
          </w:tcPr>
          <w:p w14:paraId="4D54D8BD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B0BB9B4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BE00F93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57BCE379" w14:textId="77777777" w:rsidTr="003907A9">
        <w:tblPrEx>
          <w:shd w:val="clear" w:color="auto" w:fill="D1EFB2"/>
        </w:tblPrEx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00E4" w14:textId="038E23D1" w:rsidR="0082579D" w:rsidRPr="009C76C6" w:rsidRDefault="0082579D" w:rsidP="003907A9">
            <w:pPr>
              <w:pStyle w:val="Kop3"/>
            </w:pPr>
            <w:r>
              <w:t>F. Adviseren en steunen</w:t>
            </w:r>
          </w:p>
        </w:tc>
      </w:tr>
      <w:tr w:rsidR="0082579D" w:rsidRPr="00C903EE" w14:paraId="50166B8F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6A54EE58" w14:textId="77777777" w:rsidR="0082579D" w:rsidRPr="00C903EE" w:rsidRDefault="0082579D" w:rsidP="003907A9">
            <w:pPr>
              <w:pStyle w:val="Kop5"/>
            </w:pPr>
          </w:p>
        </w:tc>
        <w:tc>
          <w:tcPr>
            <w:tcW w:w="3305" w:type="pct"/>
            <w:shd w:val="clear" w:color="auto" w:fill="auto"/>
          </w:tcPr>
          <w:p w14:paraId="5748A559" w14:textId="77777777" w:rsidR="0082579D" w:rsidRPr="00C903EE" w:rsidRDefault="0082579D" w:rsidP="003907A9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18FC1915" w14:textId="77777777" w:rsidR="0082579D" w:rsidRPr="00C903EE" w:rsidRDefault="0082579D" w:rsidP="003907A9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1A5AF4A0" w14:textId="77777777" w:rsidR="0082579D" w:rsidRPr="00C903EE" w:rsidRDefault="0082579D" w:rsidP="003907A9">
            <w:pPr>
              <w:pStyle w:val="Kop5"/>
            </w:pPr>
            <w:r w:rsidRPr="00C903EE">
              <w:t>Wie:</w:t>
            </w:r>
          </w:p>
        </w:tc>
        <w:tc>
          <w:tcPr>
            <w:tcW w:w="509" w:type="pct"/>
            <w:shd w:val="clear" w:color="auto" w:fill="auto"/>
          </w:tcPr>
          <w:p w14:paraId="2E67683B" w14:textId="77777777" w:rsidR="0082579D" w:rsidRPr="00C903EE" w:rsidRDefault="0082579D" w:rsidP="003907A9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0E1663D2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07293BC6" w14:textId="77777777" w:rsidR="0082579D" w:rsidRPr="00C903EE" w:rsidRDefault="0082579D" w:rsidP="0082579D">
            <w:pPr>
              <w:pStyle w:val="Lijstnummering"/>
              <w:numPr>
                <w:ilvl w:val="0"/>
                <w:numId w:val="54"/>
              </w:numPr>
              <w:tabs>
                <w:tab w:val="clear" w:pos="454"/>
                <w:tab w:val="num" w:pos="360"/>
              </w:tabs>
              <w:spacing w:line="300" w:lineRule="exact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53E6C0D8" w14:textId="77777777" w:rsidR="0082579D" w:rsidRPr="00C903EE" w:rsidRDefault="0082579D" w:rsidP="003907A9">
            <w:pPr>
              <w:pStyle w:val="Standaardlinks0"/>
            </w:pPr>
            <w:r>
              <w:t>De aandachtsfunctionaris a</w:t>
            </w:r>
            <w:r w:rsidRPr="00FC642D">
              <w:t>dviseert management, directie en bestuur over het implementeren en borgen van de meldcode.</w:t>
            </w:r>
          </w:p>
        </w:tc>
        <w:tc>
          <w:tcPr>
            <w:tcW w:w="509" w:type="pct"/>
            <w:shd w:val="clear" w:color="auto" w:fill="auto"/>
          </w:tcPr>
          <w:p w14:paraId="5680F4DC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C3E8652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5B3CEED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8F32745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0C001D39" w14:textId="77777777" w:rsidR="0082579D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7B6DD471" w14:textId="77777777" w:rsidR="0082579D" w:rsidRDefault="0082579D" w:rsidP="003907A9">
            <w:pPr>
              <w:pStyle w:val="Standaardlinks0"/>
            </w:pPr>
            <w:r>
              <w:t>De</w:t>
            </w:r>
            <w:r w:rsidRPr="00FC642D">
              <w:t xml:space="preserve"> aandachtsfunctionaris advise</w:t>
            </w:r>
            <w:r>
              <w:t xml:space="preserve">ert </w:t>
            </w:r>
            <w:r w:rsidRPr="00FC642D">
              <w:t xml:space="preserve">medewerkers </w:t>
            </w:r>
            <w:r>
              <w:t>over het hanteren van de meldcode.</w:t>
            </w:r>
          </w:p>
        </w:tc>
        <w:tc>
          <w:tcPr>
            <w:tcW w:w="509" w:type="pct"/>
            <w:shd w:val="clear" w:color="auto" w:fill="auto"/>
          </w:tcPr>
          <w:p w14:paraId="3F7BF0D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0D3DA8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A722B48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0810A00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3367229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7AC65E8A" w14:textId="77777777" w:rsidR="0082579D" w:rsidRPr="00C903EE" w:rsidRDefault="0082579D" w:rsidP="003907A9">
            <w:pPr>
              <w:pStyle w:val="Standaardlinks0"/>
            </w:pPr>
            <w:r>
              <w:t>De</w:t>
            </w:r>
            <w:r w:rsidRPr="00FC642D">
              <w:t xml:space="preserve"> verdeling van adviesverantwoordelijkheid binnen de organisatie </w:t>
            </w:r>
            <w:r>
              <w:t>is ontwikkeld en vastgesteld door directie.</w:t>
            </w:r>
          </w:p>
        </w:tc>
        <w:tc>
          <w:tcPr>
            <w:tcW w:w="509" w:type="pct"/>
            <w:shd w:val="clear" w:color="auto" w:fill="auto"/>
          </w:tcPr>
          <w:p w14:paraId="2725D78F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1CB535A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0498BB3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DC76B1C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1696FC7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34F1ED9A" w14:textId="77777777" w:rsidR="0082579D" w:rsidRPr="00C903EE" w:rsidRDefault="0082579D" w:rsidP="003907A9">
            <w:pPr>
              <w:pStyle w:val="Standaardlinks0"/>
            </w:pPr>
            <w:r>
              <w:t>De</w:t>
            </w:r>
            <w:r w:rsidRPr="00FC642D">
              <w:t xml:space="preserve"> verdeling van adviesverantwoordelijkheid binnen het team aandachtsfunctionarissen</w:t>
            </w:r>
            <w:r>
              <w:t xml:space="preserve"> is ontwikkeld en vastgesteld door directie.</w:t>
            </w:r>
          </w:p>
        </w:tc>
        <w:tc>
          <w:tcPr>
            <w:tcW w:w="509" w:type="pct"/>
            <w:shd w:val="clear" w:color="auto" w:fill="auto"/>
          </w:tcPr>
          <w:p w14:paraId="4034EB49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9332E27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B7E77D1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19F2A9F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664F75F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1A72EE6D" w14:textId="77777777" w:rsidR="0082579D" w:rsidRPr="00C903EE" w:rsidRDefault="0082579D" w:rsidP="003907A9">
            <w:pPr>
              <w:pStyle w:val="Standaardlinks0"/>
            </w:pPr>
            <w:r>
              <w:t>De</w:t>
            </w:r>
            <w:r w:rsidRPr="00FC642D">
              <w:t xml:space="preserve"> werkzame bereikbaarheid </w:t>
            </w:r>
            <w:r>
              <w:t>is ontwikkeld.</w:t>
            </w:r>
          </w:p>
        </w:tc>
        <w:tc>
          <w:tcPr>
            <w:tcW w:w="509" w:type="pct"/>
            <w:shd w:val="clear" w:color="auto" w:fill="auto"/>
          </w:tcPr>
          <w:p w14:paraId="46318943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56BBBFC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1179AEC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5EA709C3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1232FC44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90482C3" w14:textId="77777777" w:rsidR="0082579D" w:rsidRPr="00C903EE" w:rsidRDefault="0082579D" w:rsidP="003907A9">
            <w:pPr>
              <w:pStyle w:val="Standaardlinks0"/>
            </w:pPr>
            <w:r>
              <w:t xml:space="preserve">Het </w:t>
            </w:r>
            <w:r w:rsidRPr="00FC642D">
              <w:t xml:space="preserve"> adviesformulier waar adviesvragen anoniem op worden geregistreerd </w:t>
            </w:r>
            <w:r>
              <w:t>is ontwikkeld en vastgesteld door het team aandachtsfunctionarissen.</w:t>
            </w:r>
          </w:p>
        </w:tc>
        <w:tc>
          <w:tcPr>
            <w:tcW w:w="509" w:type="pct"/>
            <w:shd w:val="clear" w:color="auto" w:fill="auto"/>
          </w:tcPr>
          <w:p w14:paraId="4D19464F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5DAB2BE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ABF0ECA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CFF3139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92E6863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1467830C" w14:textId="77777777" w:rsidR="0082579D" w:rsidRPr="00C903EE" w:rsidRDefault="0082579D" w:rsidP="003907A9">
            <w:pPr>
              <w:pStyle w:val="Standaardlinks0"/>
            </w:pPr>
            <w:r>
              <w:t>Het</w:t>
            </w:r>
            <w:r w:rsidRPr="00FC642D">
              <w:t xml:space="preserve"> stroomschema en werkproces adviesfunctie </w:t>
            </w:r>
            <w:r>
              <w:t>is ontwikkeld en vastgesteld door</w:t>
            </w:r>
            <w:r w:rsidRPr="00FC642D">
              <w:t xml:space="preserve"> het team aandachtsfunctionarissen.</w:t>
            </w:r>
          </w:p>
        </w:tc>
        <w:tc>
          <w:tcPr>
            <w:tcW w:w="509" w:type="pct"/>
            <w:shd w:val="clear" w:color="auto" w:fill="auto"/>
          </w:tcPr>
          <w:p w14:paraId="621B181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478BF37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674C8109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4E321F40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65105AAE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3F73B288" w14:textId="77777777" w:rsidR="0082579D" w:rsidRPr="00C903EE" w:rsidRDefault="0082579D" w:rsidP="003907A9">
            <w:pPr>
              <w:pStyle w:val="Standaardlinks0"/>
            </w:pPr>
            <w:r>
              <w:t>Het</w:t>
            </w:r>
            <w:r w:rsidRPr="00FC642D">
              <w:t xml:space="preserve"> format adviesgesprek om op procesniveau en volgens het kader meldcode te adviseren </w:t>
            </w:r>
            <w:r>
              <w:t>is ontwikkeld en vastgesteld door het team aandachtsfunctionarissen.</w:t>
            </w:r>
          </w:p>
        </w:tc>
        <w:tc>
          <w:tcPr>
            <w:tcW w:w="509" w:type="pct"/>
            <w:shd w:val="clear" w:color="auto" w:fill="auto"/>
          </w:tcPr>
          <w:p w14:paraId="5494E5C5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6F3F92A7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4E9F392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764D9DAB" w14:textId="77777777" w:rsidTr="0082579D"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3E5B3C9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4E2F288B" w14:textId="77777777" w:rsidR="0082579D" w:rsidRPr="00C903EE" w:rsidRDefault="0082579D" w:rsidP="003907A9">
            <w:pPr>
              <w:pStyle w:val="Standaardlinks0"/>
            </w:pPr>
            <w:r>
              <w:t>Het</w:t>
            </w:r>
            <w:r w:rsidRPr="00FC642D">
              <w:t xml:space="preserve"> handboek voor de aandachtsfunctionaris </w:t>
            </w:r>
            <w:r>
              <w:t xml:space="preserve">is </w:t>
            </w:r>
            <w:r w:rsidRPr="00FC642D">
              <w:t>samen</w:t>
            </w:r>
            <w:r>
              <w:t>gesteld</w:t>
            </w:r>
            <w:r w:rsidRPr="00FC642D">
              <w:t xml:space="preserve"> uit relevante documenten, om zo alles informatie op één plaats te hebben</w:t>
            </w:r>
            <w:r>
              <w:t xml:space="preserve"> en de eenduidige kwaliteit van adviseren te vergroten.</w:t>
            </w:r>
          </w:p>
        </w:tc>
        <w:tc>
          <w:tcPr>
            <w:tcW w:w="509" w:type="pct"/>
            <w:shd w:val="clear" w:color="auto" w:fill="auto"/>
          </w:tcPr>
          <w:p w14:paraId="02334660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41F773E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62E3900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1CA20D15" w14:textId="77777777" w:rsidTr="0082579D">
        <w:tblPrEx>
          <w:shd w:val="clear" w:color="auto" w:fill="D1EFB2"/>
        </w:tblPrEx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6472" w14:textId="4176762F" w:rsidR="0082579D" w:rsidRPr="009C76C6" w:rsidRDefault="0082579D" w:rsidP="0082579D">
            <w:pPr>
              <w:pStyle w:val="Kop3"/>
            </w:pPr>
            <w:r>
              <w:t>G</w:t>
            </w:r>
            <w:r w:rsidRPr="00C903EE">
              <w:t>. Implementeren en borgen</w:t>
            </w:r>
          </w:p>
        </w:tc>
      </w:tr>
      <w:tr w:rsidR="0082579D" w:rsidRPr="00C903EE" w14:paraId="6F7AB9EB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50" w:type="pct"/>
            <w:shd w:val="clear" w:color="auto" w:fill="auto"/>
          </w:tcPr>
          <w:p w14:paraId="0FDCA3CA" w14:textId="77777777" w:rsidR="0082579D" w:rsidRPr="00C903EE" w:rsidRDefault="0082579D" w:rsidP="003907A9">
            <w:pPr>
              <w:pStyle w:val="Kop5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1E8448F6" w14:textId="77777777" w:rsidR="0082579D" w:rsidRPr="00C903EE" w:rsidRDefault="0082579D" w:rsidP="003907A9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53EFD145" w14:textId="77777777" w:rsidR="0082579D" w:rsidRPr="00C903EE" w:rsidRDefault="0082579D" w:rsidP="003907A9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323C1DFB" w14:textId="77777777" w:rsidR="0082579D" w:rsidRPr="00C903EE" w:rsidRDefault="0082579D" w:rsidP="003907A9">
            <w:pPr>
              <w:pStyle w:val="Kop5"/>
            </w:pPr>
            <w:r w:rsidRPr="00C903EE">
              <w:t>Wie:</w:t>
            </w:r>
          </w:p>
        </w:tc>
        <w:tc>
          <w:tcPr>
            <w:tcW w:w="509" w:type="pct"/>
            <w:shd w:val="clear" w:color="auto" w:fill="auto"/>
          </w:tcPr>
          <w:p w14:paraId="4756FED3" w14:textId="77777777" w:rsidR="0082579D" w:rsidRPr="00C903EE" w:rsidRDefault="0082579D" w:rsidP="003907A9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5BBB107F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50" w:type="pct"/>
            <w:shd w:val="clear" w:color="auto" w:fill="auto"/>
          </w:tcPr>
          <w:p w14:paraId="523B6155" w14:textId="77777777" w:rsidR="0082579D" w:rsidRPr="00C903EE" w:rsidRDefault="0082579D" w:rsidP="0082579D">
            <w:pPr>
              <w:pStyle w:val="Lijstnummering"/>
              <w:numPr>
                <w:ilvl w:val="0"/>
                <w:numId w:val="55"/>
              </w:numPr>
              <w:tabs>
                <w:tab w:val="clear" w:pos="454"/>
              </w:tabs>
              <w:spacing w:before="0" w:after="0" w:line="300" w:lineRule="exact"/>
              <w:jc w:val="left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4B11E88C" w14:textId="77777777" w:rsidR="0082579D" w:rsidRPr="00C903EE" w:rsidRDefault="0082579D" w:rsidP="003907A9">
            <w:pPr>
              <w:pStyle w:val="StandaardLinkszonderafstand"/>
            </w:pPr>
            <w:r>
              <w:t>Het commitment van directie en management is vastgesteld en dit is, indien nodig, voorbereid met een projectvoorstel aan directie.</w:t>
            </w:r>
          </w:p>
        </w:tc>
        <w:tc>
          <w:tcPr>
            <w:tcW w:w="509" w:type="pct"/>
            <w:shd w:val="clear" w:color="auto" w:fill="auto"/>
          </w:tcPr>
          <w:p w14:paraId="09132791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EE19DF3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075368F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2A53B3EC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50" w:type="pct"/>
            <w:shd w:val="clear" w:color="auto" w:fill="auto"/>
          </w:tcPr>
          <w:p w14:paraId="3274BE6A" w14:textId="77777777" w:rsidR="0082579D" w:rsidRPr="00C903EE" w:rsidRDefault="0082579D" w:rsidP="0082579D">
            <w:pPr>
              <w:pStyle w:val="Lijstnummering"/>
              <w:tabs>
                <w:tab w:val="clear" w:pos="454"/>
              </w:tabs>
              <w:spacing w:before="0" w:after="0" w:line="300" w:lineRule="exact"/>
              <w:ind w:left="360" w:hanging="360"/>
              <w:jc w:val="left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43B9C006" w14:textId="77777777" w:rsidR="0082579D" w:rsidRPr="00C903EE" w:rsidRDefault="0082579D" w:rsidP="003907A9">
            <w:pPr>
              <w:pStyle w:val="StandaardLinkszonderafstand"/>
            </w:pPr>
            <w:r>
              <w:t>Het implementatieplan is ontwikkeld en vastgesteld door directie.</w:t>
            </w:r>
          </w:p>
        </w:tc>
        <w:tc>
          <w:tcPr>
            <w:tcW w:w="509" w:type="pct"/>
            <w:shd w:val="clear" w:color="auto" w:fill="auto"/>
          </w:tcPr>
          <w:p w14:paraId="48088603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A0A0725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DC0D90E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3BEEB527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50" w:type="pct"/>
            <w:shd w:val="clear" w:color="auto" w:fill="auto"/>
          </w:tcPr>
          <w:p w14:paraId="682A234C" w14:textId="77777777" w:rsidR="0082579D" w:rsidRPr="00C903EE" w:rsidRDefault="0082579D" w:rsidP="0082579D">
            <w:pPr>
              <w:pStyle w:val="Lijstnummering"/>
              <w:tabs>
                <w:tab w:val="clear" w:pos="454"/>
              </w:tabs>
              <w:spacing w:before="0" w:after="0" w:line="300" w:lineRule="exact"/>
              <w:ind w:left="360" w:hanging="360"/>
              <w:jc w:val="left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33990E26" w14:textId="77777777" w:rsidR="0082579D" w:rsidRPr="00C903EE" w:rsidRDefault="0082579D" w:rsidP="003907A9">
            <w:pPr>
              <w:pStyle w:val="StandaardLinkszonderafstand"/>
            </w:pPr>
            <w:r>
              <w:t>Het werkplan wordt jaarlijks ontwikkeld, vastgesteld door het team aandachtsfunctionarissen en uitgevoerd.</w:t>
            </w:r>
          </w:p>
        </w:tc>
        <w:tc>
          <w:tcPr>
            <w:tcW w:w="509" w:type="pct"/>
            <w:shd w:val="clear" w:color="auto" w:fill="auto"/>
          </w:tcPr>
          <w:p w14:paraId="11C0A518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68A42AB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12C4F66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157CF830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50" w:type="pct"/>
            <w:shd w:val="clear" w:color="auto" w:fill="auto"/>
          </w:tcPr>
          <w:p w14:paraId="4FA85C61" w14:textId="77777777" w:rsidR="0082579D" w:rsidRDefault="0082579D" w:rsidP="0082579D">
            <w:pPr>
              <w:pStyle w:val="Lijstnummering"/>
              <w:tabs>
                <w:tab w:val="clear" w:pos="454"/>
              </w:tabs>
              <w:spacing w:before="0" w:after="0" w:line="300" w:lineRule="exact"/>
              <w:ind w:left="360" w:hanging="360"/>
              <w:jc w:val="left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08ECCC75" w14:textId="77777777" w:rsidR="0082579D" w:rsidRPr="00C903EE" w:rsidRDefault="0082579D" w:rsidP="003907A9">
            <w:pPr>
              <w:pStyle w:val="Standaardlinks0"/>
            </w:pPr>
            <w:r>
              <w:t>De inzet van het team aandachtsfunctionarissen wordt jaarlijks verantwoord in een jaarverslag en voorgelegd aan directie en management.</w:t>
            </w:r>
          </w:p>
        </w:tc>
        <w:tc>
          <w:tcPr>
            <w:tcW w:w="509" w:type="pct"/>
            <w:shd w:val="clear" w:color="auto" w:fill="auto"/>
          </w:tcPr>
          <w:p w14:paraId="7F6C687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CF06D66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EA1EFE5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30901B42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50" w:type="pct"/>
            <w:shd w:val="clear" w:color="auto" w:fill="auto"/>
          </w:tcPr>
          <w:p w14:paraId="764A14AA" w14:textId="77777777" w:rsidR="0082579D" w:rsidRPr="00C903EE" w:rsidRDefault="0082579D" w:rsidP="0082579D">
            <w:pPr>
              <w:pStyle w:val="Lijstnummering"/>
              <w:tabs>
                <w:tab w:val="clear" w:pos="454"/>
              </w:tabs>
              <w:spacing w:before="0" w:after="0" w:line="300" w:lineRule="exact"/>
              <w:ind w:left="360" w:hanging="360"/>
              <w:jc w:val="left"/>
            </w:pPr>
          </w:p>
        </w:tc>
        <w:tc>
          <w:tcPr>
            <w:tcW w:w="3324" w:type="pct"/>
            <w:gridSpan w:val="2"/>
            <w:shd w:val="clear" w:color="auto" w:fill="auto"/>
          </w:tcPr>
          <w:p w14:paraId="1307A5B0" w14:textId="77777777" w:rsidR="0082579D" w:rsidRPr="00C903EE" w:rsidRDefault="0082579D" w:rsidP="003907A9">
            <w:pPr>
              <w:pStyle w:val="Standaardlinks0"/>
            </w:pPr>
            <w:r>
              <w:t>D</w:t>
            </w:r>
            <w:r w:rsidRPr="00C903EE">
              <w:t>irectie en management sturen op het daadwerkelijke gebruik van de meldcode.</w:t>
            </w:r>
            <w:r w:rsidRPr="00C903EE">
              <w:tab/>
            </w:r>
            <w:r w:rsidRPr="00C903EE">
              <w:tab/>
            </w:r>
          </w:p>
        </w:tc>
        <w:tc>
          <w:tcPr>
            <w:tcW w:w="509" w:type="pct"/>
            <w:shd w:val="clear" w:color="auto" w:fill="auto"/>
          </w:tcPr>
          <w:p w14:paraId="276C0204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5962C51" w14:textId="77777777" w:rsidR="0082579D" w:rsidRPr="00C903EE" w:rsidRDefault="0082579D" w:rsidP="003907A9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D2F099A" w14:textId="77777777" w:rsidR="0082579D" w:rsidRPr="00C903EE" w:rsidRDefault="0082579D" w:rsidP="003907A9">
            <w:pPr>
              <w:jc w:val="left"/>
            </w:pPr>
          </w:p>
        </w:tc>
      </w:tr>
      <w:tr w:rsidR="0082579D" w:rsidRPr="00C903EE" w14:paraId="3ED479EE" w14:textId="77777777" w:rsidTr="0082579D">
        <w:tblPrEx>
          <w:shd w:val="clear" w:color="auto" w:fill="D1EFB2"/>
        </w:tblPrEx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E1DC" w14:textId="77777777" w:rsidR="0082579D" w:rsidRPr="00C903EE" w:rsidRDefault="0082579D" w:rsidP="0082579D">
            <w:pPr>
              <w:pStyle w:val="Kop3"/>
            </w:pPr>
            <w:r>
              <w:t>H. Monitoren</w:t>
            </w:r>
          </w:p>
        </w:tc>
      </w:tr>
      <w:tr w:rsidR="0082579D" w:rsidRPr="00C903EE" w14:paraId="6CA60E8D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8568476" w14:textId="77777777" w:rsidR="0082579D" w:rsidRPr="00C903EE" w:rsidRDefault="0082579D" w:rsidP="0082579D">
            <w:pPr>
              <w:pStyle w:val="Kop5"/>
            </w:pPr>
          </w:p>
        </w:tc>
        <w:tc>
          <w:tcPr>
            <w:tcW w:w="3305" w:type="pct"/>
            <w:shd w:val="clear" w:color="auto" w:fill="auto"/>
          </w:tcPr>
          <w:p w14:paraId="2A249D60" w14:textId="77777777" w:rsidR="0082579D" w:rsidRPr="00C903EE" w:rsidRDefault="0082579D" w:rsidP="0082579D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59B6451D" w14:textId="77777777" w:rsidR="0082579D" w:rsidRPr="00C903EE" w:rsidRDefault="0082579D" w:rsidP="0082579D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40865030" w14:textId="77777777" w:rsidR="0082579D" w:rsidRPr="00C903EE" w:rsidRDefault="0082579D" w:rsidP="0082579D">
            <w:pPr>
              <w:pStyle w:val="Kop5"/>
            </w:pPr>
            <w:r w:rsidRPr="00C903EE">
              <w:t>Wie:</w:t>
            </w:r>
          </w:p>
        </w:tc>
        <w:tc>
          <w:tcPr>
            <w:tcW w:w="509" w:type="pct"/>
            <w:shd w:val="clear" w:color="auto" w:fill="auto"/>
          </w:tcPr>
          <w:p w14:paraId="7BBF156E" w14:textId="77777777" w:rsidR="0082579D" w:rsidRPr="00C903EE" w:rsidRDefault="0082579D" w:rsidP="0082579D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24627A99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9891F26" w14:textId="77777777" w:rsidR="0082579D" w:rsidRPr="00C903EE" w:rsidRDefault="0082579D" w:rsidP="0082579D">
            <w:pPr>
              <w:pStyle w:val="Lijstnummering"/>
              <w:numPr>
                <w:ilvl w:val="0"/>
                <w:numId w:val="52"/>
              </w:numPr>
              <w:tabs>
                <w:tab w:val="clear" w:pos="454"/>
                <w:tab w:val="num" w:pos="360"/>
              </w:tabs>
              <w:spacing w:line="300" w:lineRule="exact"/>
              <w:ind w:left="360" w:hanging="360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5C7CCC3F" w14:textId="77777777" w:rsidR="0082579D" w:rsidRPr="00C903EE" w:rsidRDefault="0082579D" w:rsidP="0082579D">
            <w:pPr>
              <w:pStyle w:val="Standaardlinks0"/>
            </w:pPr>
            <w:r>
              <w:t>I</w:t>
            </w:r>
            <w:r w:rsidRPr="00584CD7">
              <w:t xml:space="preserve">mplementatie en borging van de meldcode </w:t>
            </w:r>
            <w:r>
              <w:t xml:space="preserve">wordt periodiek geëvalueerd </w:t>
            </w:r>
            <w:r w:rsidRPr="00584CD7">
              <w:t xml:space="preserve">volgens de PDCA-cyclus en ontwikkelpunten </w:t>
            </w:r>
            <w:r>
              <w:t xml:space="preserve">worden </w:t>
            </w:r>
            <w:r w:rsidRPr="00584CD7">
              <w:t>mee</w:t>
            </w:r>
            <w:r>
              <w:t>genomen</w:t>
            </w:r>
            <w:r w:rsidRPr="00584CD7">
              <w:t xml:space="preserve"> in het volgende werkplan.</w:t>
            </w:r>
          </w:p>
        </w:tc>
        <w:tc>
          <w:tcPr>
            <w:tcW w:w="509" w:type="pct"/>
            <w:shd w:val="clear" w:color="auto" w:fill="auto"/>
          </w:tcPr>
          <w:p w14:paraId="3AB465C1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5B060ED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A832655" w14:textId="77777777" w:rsidR="0082579D" w:rsidRPr="00C903EE" w:rsidRDefault="0082579D" w:rsidP="0082579D">
            <w:pPr>
              <w:jc w:val="left"/>
            </w:pPr>
          </w:p>
        </w:tc>
      </w:tr>
      <w:tr w:rsidR="0082579D" w:rsidRPr="00C903EE" w14:paraId="05D3DB86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710612C0" w14:textId="77777777" w:rsidR="0082579D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110A416B" w14:textId="77777777" w:rsidR="0082579D" w:rsidRDefault="0082579D" w:rsidP="0082579D">
            <w:pPr>
              <w:pStyle w:val="Standaardlinks0"/>
            </w:pPr>
            <w:r>
              <w:t>A</w:t>
            </w:r>
            <w:r w:rsidRPr="00584CD7">
              <w:t xml:space="preserve">dviesvragen </w:t>
            </w:r>
            <w:r>
              <w:t xml:space="preserve">worden periodiek geëvalueerd </w:t>
            </w:r>
            <w:r w:rsidRPr="00584CD7">
              <w:t xml:space="preserve">aan de hand van afgesloten adviesvragen en ontwikkelpunten </w:t>
            </w:r>
            <w:r>
              <w:t xml:space="preserve">worden </w:t>
            </w:r>
            <w:r w:rsidRPr="00584CD7">
              <w:t>mee</w:t>
            </w:r>
            <w:r>
              <w:t>genomen</w:t>
            </w:r>
            <w:r w:rsidRPr="00584CD7">
              <w:t xml:space="preserve"> in het volgende werkplan.</w:t>
            </w:r>
          </w:p>
        </w:tc>
        <w:tc>
          <w:tcPr>
            <w:tcW w:w="509" w:type="pct"/>
            <w:shd w:val="clear" w:color="auto" w:fill="auto"/>
          </w:tcPr>
          <w:p w14:paraId="517C6E7A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DA71889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E650DEB" w14:textId="77777777" w:rsidR="0082579D" w:rsidRPr="00C903EE" w:rsidRDefault="0082579D" w:rsidP="0082579D">
            <w:pPr>
              <w:jc w:val="left"/>
            </w:pPr>
          </w:p>
        </w:tc>
      </w:tr>
      <w:tr w:rsidR="0082579D" w:rsidRPr="00C903EE" w14:paraId="77950B32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B994D6B" w14:textId="77777777" w:rsidR="0082579D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333BBC04" w14:textId="77777777" w:rsidR="0082579D" w:rsidRDefault="0082579D" w:rsidP="0082579D">
            <w:pPr>
              <w:pStyle w:val="Standaardlinks0"/>
            </w:pPr>
            <w:r>
              <w:t>D</w:t>
            </w:r>
            <w:r w:rsidRPr="00584CD7">
              <w:t xml:space="preserve">e samenwerking aan de hand van afgesloten casussen </w:t>
            </w:r>
            <w:r>
              <w:t xml:space="preserve">wordt periodiek geëvalueerd </w:t>
            </w:r>
            <w:r w:rsidRPr="00584CD7">
              <w:t xml:space="preserve">en </w:t>
            </w:r>
            <w:r>
              <w:t>o</w:t>
            </w:r>
            <w:r w:rsidRPr="00584CD7">
              <w:t xml:space="preserve">ntwikkelpunten </w:t>
            </w:r>
            <w:r>
              <w:t>worden meegenomen</w:t>
            </w:r>
            <w:r w:rsidRPr="00584CD7">
              <w:t xml:space="preserve"> in een PCDA-cyclus.</w:t>
            </w:r>
          </w:p>
        </w:tc>
        <w:tc>
          <w:tcPr>
            <w:tcW w:w="509" w:type="pct"/>
            <w:shd w:val="clear" w:color="auto" w:fill="auto"/>
          </w:tcPr>
          <w:p w14:paraId="15A8BD7F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57A7507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5E83062" w14:textId="77777777" w:rsidR="0082579D" w:rsidRPr="00C903EE" w:rsidRDefault="0082579D" w:rsidP="0082579D">
            <w:pPr>
              <w:jc w:val="left"/>
            </w:pPr>
          </w:p>
        </w:tc>
      </w:tr>
      <w:tr w:rsidR="0082579D" w:rsidRPr="00C903EE" w14:paraId="411E374B" w14:textId="77777777" w:rsidTr="0082579D">
        <w:tblPrEx>
          <w:shd w:val="clear" w:color="auto" w:fill="D1EFB2"/>
        </w:tblPrEx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282BD" w14:textId="77777777" w:rsidR="0082579D" w:rsidRPr="00C903EE" w:rsidRDefault="0082579D" w:rsidP="0082579D">
            <w:pPr>
              <w:pStyle w:val="Kop3"/>
            </w:pPr>
            <w:r>
              <w:t>I. Deskundig zijn</w:t>
            </w:r>
          </w:p>
        </w:tc>
      </w:tr>
      <w:tr w:rsidR="0082579D" w:rsidRPr="00C903EE" w14:paraId="0E5AAD1C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F3C1FA6" w14:textId="77777777" w:rsidR="0082579D" w:rsidRPr="00C903EE" w:rsidRDefault="0082579D" w:rsidP="0082579D">
            <w:pPr>
              <w:pStyle w:val="Kop5"/>
            </w:pPr>
          </w:p>
        </w:tc>
        <w:tc>
          <w:tcPr>
            <w:tcW w:w="3305" w:type="pct"/>
            <w:shd w:val="clear" w:color="auto" w:fill="auto"/>
          </w:tcPr>
          <w:p w14:paraId="0096FBB9" w14:textId="77777777" w:rsidR="0082579D" w:rsidRPr="00C903EE" w:rsidRDefault="0082579D" w:rsidP="0082579D">
            <w:pPr>
              <w:pStyle w:val="Kop5"/>
            </w:pPr>
            <w:r w:rsidRPr="00C903EE">
              <w:t>Wat:</w:t>
            </w:r>
          </w:p>
        </w:tc>
        <w:tc>
          <w:tcPr>
            <w:tcW w:w="509" w:type="pct"/>
            <w:shd w:val="clear" w:color="auto" w:fill="auto"/>
          </w:tcPr>
          <w:p w14:paraId="3B43A892" w14:textId="77777777" w:rsidR="0082579D" w:rsidRPr="00C903EE" w:rsidRDefault="0082579D" w:rsidP="0082579D">
            <w:pPr>
              <w:pStyle w:val="Kop5"/>
            </w:pPr>
            <w:r w:rsidRPr="00C903EE">
              <w:t>Actie:</w:t>
            </w:r>
          </w:p>
        </w:tc>
        <w:tc>
          <w:tcPr>
            <w:tcW w:w="509" w:type="pct"/>
            <w:shd w:val="clear" w:color="auto" w:fill="auto"/>
          </w:tcPr>
          <w:p w14:paraId="2DA6C401" w14:textId="77777777" w:rsidR="0082579D" w:rsidRPr="00C903EE" w:rsidRDefault="0082579D" w:rsidP="0082579D">
            <w:pPr>
              <w:pStyle w:val="Kop5"/>
            </w:pPr>
            <w:r w:rsidRPr="00C903EE">
              <w:t>Wie:</w:t>
            </w:r>
          </w:p>
        </w:tc>
        <w:tc>
          <w:tcPr>
            <w:tcW w:w="509" w:type="pct"/>
            <w:shd w:val="clear" w:color="auto" w:fill="auto"/>
          </w:tcPr>
          <w:p w14:paraId="71BA2CEE" w14:textId="77777777" w:rsidR="0082579D" w:rsidRPr="00C903EE" w:rsidRDefault="0082579D" w:rsidP="0082579D">
            <w:pPr>
              <w:pStyle w:val="Kop5"/>
            </w:pPr>
            <w:r w:rsidRPr="00C903EE">
              <w:t>Wanneer:</w:t>
            </w:r>
          </w:p>
        </w:tc>
      </w:tr>
      <w:tr w:rsidR="0082579D" w:rsidRPr="00C903EE" w14:paraId="69C83F09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7AFCE62" w14:textId="77777777" w:rsidR="0082579D" w:rsidRPr="00C903EE" w:rsidRDefault="0082579D" w:rsidP="0082579D">
            <w:pPr>
              <w:pStyle w:val="Lijstnummering"/>
              <w:numPr>
                <w:ilvl w:val="0"/>
                <w:numId w:val="53"/>
              </w:numPr>
              <w:tabs>
                <w:tab w:val="clear" w:pos="454"/>
                <w:tab w:val="num" w:pos="360"/>
              </w:tabs>
              <w:spacing w:line="300" w:lineRule="exact"/>
              <w:ind w:left="360" w:hanging="360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3E8D5CD2" w14:textId="77777777" w:rsidR="0082579D" w:rsidRPr="00C903EE" w:rsidRDefault="0082579D" w:rsidP="0082579D">
            <w:pPr>
              <w:pStyle w:val="Standaardlinks0"/>
            </w:pPr>
            <w:r>
              <w:t>Het</w:t>
            </w:r>
            <w:r w:rsidRPr="00805F96">
              <w:t xml:space="preserve"> scholingsplan met scholingsactiviteiten per competentieprofiel </w:t>
            </w:r>
            <w:r>
              <w:t xml:space="preserve">is </w:t>
            </w:r>
            <w:r w:rsidRPr="00805F96">
              <w:t>voor zowel bestaande als nieuwe medewerkers</w:t>
            </w:r>
            <w:r>
              <w:t xml:space="preserve"> ontwikkeld en vastgesteld door directie.</w:t>
            </w:r>
          </w:p>
        </w:tc>
        <w:tc>
          <w:tcPr>
            <w:tcW w:w="509" w:type="pct"/>
            <w:shd w:val="clear" w:color="auto" w:fill="auto"/>
          </w:tcPr>
          <w:p w14:paraId="502EA840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28F96F6D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043469B7" w14:textId="77777777" w:rsidR="0082579D" w:rsidRPr="00C903EE" w:rsidRDefault="0082579D" w:rsidP="0082579D">
            <w:pPr>
              <w:jc w:val="left"/>
            </w:pPr>
          </w:p>
        </w:tc>
      </w:tr>
      <w:tr w:rsidR="0082579D" w:rsidRPr="00C903EE" w14:paraId="3A90F1DC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422726E5" w14:textId="77777777" w:rsidR="0082579D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730BE4DF" w14:textId="77777777" w:rsidR="0082579D" w:rsidRDefault="0082579D" w:rsidP="0082579D">
            <w:pPr>
              <w:pStyle w:val="Standaardlinks0"/>
            </w:pPr>
            <w:r>
              <w:t>Het scholingsplan wordt uitgevoerd.</w:t>
            </w:r>
          </w:p>
        </w:tc>
        <w:tc>
          <w:tcPr>
            <w:tcW w:w="509" w:type="pct"/>
            <w:shd w:val="clear" w:color="auto" w:fill="auto"/>
          </w:tcPr>
          <w:p w14:paraId="2A583C5E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610B7A5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1A61F216" w14:textId="77777777" w:rsidR="0082579D" w:rsidRPr="00C903EE" w:rsidRDefault="0082579D" w:rsidP="0082579D">
            <w:pPr>
              <w:jc w:val="left"/>
            </w:pPr>
          </w:p>
        </w:tc>
      </w:tr>
      <w:tr w:rsidR="0082579D" w:rsidRPr="00C903EE" w14:paraId="66176643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659B63C7" w14:textId="77777777" w:rsidR="0082579D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154FC7DA" w14:textId="77777777" w:rsidR="0082579D" w:rsidRDefault="0082579D" w:rsidP="0082579D">
            <w:pPr>
              <w:pStyle w:val="Standaardlinks0"/>
            </w:pPr>
            <w:r w:rsidRPr="00805F96">
              <w:t>Het scholingsplan is in het scholingsbeleid van de organisatie opgenomen.</w:t>
            </w:r>
          </w:p>
        </w:tc>
        <w:tc>
          <w:tcPr>
            <w:tcW w:w="509" w:type="pct"/>
            <w:shd w:val="clear" w:color="auto" w:fill="auto"/>
          </w:tcPr>
          <w:p w14:paraId="30B2A1A8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4FF06AFE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55457E9E" w14:textId="77777777" w:rsidR="0082579D" w:rsidRPr="00C903EE" w:rsidRDefault="0082579D" w:rsidP="0082579D">
            <w:pPr>
              <w:jc w:val="left"/>
            </w:pPr>
          </w:p>
        </w:tc>
      </w:tr>
      <w:tr w:rsidR="0082579D" w:rsidRPr="00C903EE" w14:paraId="649ED6CA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2ABB03A4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6387623F" w14:textId="77777777" w:rsidR="0082579D" w:rsidRPr="00C903EE" w:rsidRDefault="0082579D" w:rsidP="0082579D">
            <w:pPr>
              <w:pStyle w:val="Standaardlinks0"/>
            </w:pPr>
            <w:r w:rsidRPr="00805F96">
              <w:t>Organisaties die geen hulp en bescherming bij huiselijk geweld bieden</w:t>
            </w:r>
            <w:r>
              <w:t xml:space="preserve"> hebben </w:t>
            </w:r>
            <w:r w:rsidRPr="00805F96">
              <w:t>het werken met de meldcode en het signaleren en handelen bij huiselijk geweld minimaal binnen een overleg</w:t>
            </w:r>
            <w:r>
              <w:t xml:space="preserve"> geagendeerd</w:t>
            </w:r>
            <w:r w:rsidRPr="00805F96">
              <w:t>.</w:t>
            </w:r>
          </w:p>
        </w:tc>
        <w:tc>
          <w:tcPr>
            <w:tcW w:w="509" w:type="pct"/>
            <w:shd w:val="clear" w:color="auto" w:fill="auto"/>
          </w:tcPr>
          <w:p w14:paraId="5BD10984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D66E5BD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6F888D3A" w14:textId="77777777" w:rsidR="0082579D" w:rsidRPr="00C903EE" w:rsidRDefault="0082579D" w:rsidP="0082579D">
            <w:pPr>
              <w:jc w:val="left"/>
            </w:pPr>
          </w:p>
        </w:tc>
      </w:tr>
      <w:tr w:rsidR="0082579D" w:rsidRPr="00C903EE" w14:paraId="6361E3E7" w14:textId="77777777" w:rsidTr="0082579D">
        <w:tblPrEx>
          <w:shd w:val="clear" w:color="auto" w:fill="D1EFB2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</w:tcPr>
          <w:p w14:paraId="3CA2F2CD" w14:textId="77777777" w:rsidR="0082579D" w:rsidRPr="00C903EE" w:rsidRDefault="0082579D" w:rsidP="0082579D">
            <w:pPr>
              <w:pStyle w:val="Lijstnummering"/>
              <w:tabs>
                <w:tab w:val="clear" w:pos="454"/>
                <w:tab w:val="num" w:pos="360"/>
              </w:tabs>
              <w:spacing w:line="300" w:lineRule="exact"/>
              <w:ind w:left="357" w:hanging="357"/>
              <w:jc w:val="left"/>
            </w:pPr>
          </w:p>
        </w:tc>
        <w:tc>
          <w:tcPr>
            <w:tcW w:w="3305" w:type="pct"/>
            <w:shd w:val="clear" w:color="auto" w:fill="auto"/>
          </w:tcPr>
          <w:p w14:paraId="52498022" w14:textId="77777777" w:rsidR="0082579D" w:rsidRPr="00C903EE" w:rsidRDefault="0082579D" w:rsidP="0082579D">
            <w:pPr>
              <w:pStyle w:val="Standaardlinks0"/>
            </w:pPr>
            <w:r w:rsidRPr="00805F96">
              <w:t xml:space="preserve">Organisaties die </w:t>
            </w:r>
            <w:r>
              <w:t>wel</w:t>
            </w:r>
            <w:r w:rsidRPr="00805F96">
              <w:t xml:space="preserve"> hulp en bescherming bij huiselijk geweld bieden</w:t>
            </w:r>
            <w:r>
              <w:t xml:space="preserve"> hebben </w:t>
            </w:r>
            <w:r w:rsidRPr="00805F96">
              <w:t>het werken met de meldcode en het signaleren en handelen bij huiselijk geweld binne</w:t>
            </w:r>
            <w:r>
              <w:t>n</w:t>
            </w:r>
            <w:r w:rsidRPr="00805F96">
              <w:t xml:space="preserve"> casuïstiekbespreking, intervisie en andere vormen van werkbegeleiding</w:t>
            </w:r>
            <w:r>
              <w:t xml:space="preserve"> geagendeerd</w:t>
            </w:r>
            <w:r w:rsidRPr="00805F96">
              <w:t>.</w:t>
            </w:r>
          </w:p>
        </w:tc>
        <w:tc>
          <w:tcPr>
            <w:tcW w:w="509" w:type="pct"/>
            <w:shd w:val="clear" w:color="auto" w:fill="auto"/>
          </w:tcPr>
          <w:p w14:paraId="68C57423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7A05501B" w14:textId="77777777" w:rsidR="0082579D" w:rsidRPr="00C903EE" w:rsidRDefault="0082579D" w:rsidP="0082579D">
            <w:pPr>
              <w:jc w:val="left"/>
            </w:pPr>
          </w:p>
        </w:tc>
        <w:tc>
          <w:tcPr>
            <w:tcW w:w="509" w:type="pct"/>
            <w:shd w:val="clear" w:color="auto" w:fill="auto"/>
          </w:tcPr>
          <w:p w14:paraId="38DF2381" w14:textId="77777777" w:rsidR="0082579D" w:rsidRPr="00C903EE" w:rsidRDefault="0082579D" w:rsidP="0082579D">
            <w:pPr>
              <w:jc w:val="left"/>
            </w:pPr>
          </w:p>
        </w:tc>
      </w:tr>
    </w:tbl>
    <w:p w14:paraId="3D70FF2B" w14:textId="77777777" w:rsidR="0082579D" w:rsidRDefault="0082579D" w:rsidP="0082579D">
      <w:pPr>
        <w:snapToGrid/>
        <w:spacing w:before="0" w:after="0" w:line="240" w:lineRule="auto"/>
        <w:jc w:val="left"/>
      </w:pPr>
    </w:p>
    <w:sectPr w:rsidR="0082579D" w:rsidSect="0082579D">
      <w:footerReference w:type="even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F948B" w14:textId="77777777" w:rsidR="00E01D25" w:rsidRDefault="00E01D25" w:rsidP="003E44F0">
      <w:pPr>
        <w:spacing w:before="0" w:after="0" w:line="240" w:lineRule="auto"/>
      </w:pPr>
      <w:r>
        <w:separator/>
      </w:r>
    </w:p>
  </w:endnote>
  <w:endnote w:type="continuationSeparator" w:id="0">
    <w:p w14:paraId="2535BE6A" w14:textId="77777777" w:rsidR="00E01D25" w:rsidRDefault="00E01D25" w:rsidP="003E44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Content>
      <w:p w14:paraId="114F7D1A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317EFAF4" w14:textId="77777777" w:rsidR="00B23DC2" w:rsidRDefault="00B23DC2"/>
  <w:p w14:paraId="6F6E386E" w14:textId="77777777" w:rsidR="00B23DC2" w:rsidRDefault="00B23D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Content>
      <w:p w14:paraId="79F38259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0DDC9722" w14:textId="77777777" w:rsidR="00B23DC2" w:rsidRDefault="00B23DC2" w:rsidP="00B968FB">
    <w:pPr>
      <w:rPr>
        <w:rFonts w:ascii="Segoe UI Symbol" w:hAnsi="Segoe UI Symbol" w:cs="Segoe UI Symbol"/>
      </w:rPr>
    </w:pPr>
  </w:p>
  <w:p w14:paraId="629E9E22" w14:textId="77777777" w:rsidR="00B23DC2" w:rsidRDefault="00B23DC2" w:rsidP="00DD03CA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>
      <w:t xml:space="preserve">Trainers Huiselijk Geweld </w:t>
    </w:r>
    <w:r>
      <w:rPr>
        <w:rFonts w:ascii="Segoe UI Symbol" w:hAnsi="Segoe UI Symbol" w:cs="Segoe UI Symbol"/>
      </w:rPr>
      <w:t>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0C79" w14:textId="77777777" w:rsidR="00E01D25" w:rsidRDefault="00E01D25" w:rsidP="003E44F0">
      <w:pPr>
        <w:spacing w:before="0" w:after="0" w:line="240" w:lineRule="auto"/>
      </w:pPr>
      <w:r>
        <w:separator/>
      </w:r>
    </w:p>
  </w:footnote>
  <w:footnote w:type="continuationSeparator" w:id="0">
    <w:p w14:paraId="7E92A7B4" w14:textId="77777777" w:rsidR="00E01D25" w:rsidRDefault="00E01D25" w:rsidP="003E44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40E1" w14:textId="5B5F6BF6" w:rsidR="0082579D" w:rsidRDefault="0082579D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DB2C0" wp14:editId="1B75D0BB">
          <wp:simplePos x="0" y="0"/>
          <wp:positionH relativeFrom="column">
            <wp:posOffset>6666777</wp:posOffset>
          </wp:positionH>
          <wp:positionV relativeFrom="paragraph">
            <wp:posOffset>137795</wp:posOffset>
          </wp:positionV>
          <wp:extent cx="2160000" cy="284400"/>
          <wp:effectExtent l="0" t="0" r="0" b="0"/>
          <wp:wrapThrough wrapText="bothSides">
            <wp:wrapPolygon edited="0">
              <wp:start x="0" y="0"/>
              <wp:lineTo x="0" y="20295"/>
              <wp:lineTo x="21467" y="20295"/>
              <wp:lineTo x="21467" y="0"/>
              <wp:lineTo x="0" y="0"/>
            </wp:wrapPolygon>
          </wp:wrapThrough>
          <wp:docPr id="1046796867" name="Afbeelding 2" descr="Afbeelding met tekst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 descr="Afbeelding met tekst, Lettertyp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C6D9EE"/>
    <w:lvl w:ilvl="0">
      <w:start w:val="1"/>
      <w:numFmt w:val="bullet"/>
      <w:pStyle w:val="Lijstopsomteken4"/>
      <w:lvlText w:val="-"/>
      <w:lvlJc w:val="left"/>
      <w:pPr>
        <w:tabs>
          <w:tab w:val="num" w:pos="680"/>
        </w:tabs>
        <w:ind w:left="567" w:hanging="283"/>
      </w:pPr>
      <w:rPr>
        <w:rFonts w:ascii="Arial" w:hAnsi="Arial" w:hint="default"/>
      </w:rPr>
    </w:lvl>
  </w:abstractNum>
  <w:abstractNum w:abstractNumId="1" w15:restartNumberingAfterBreak="0">
    <w:nsid w:val="FFFFFF82"/>
    <w:multiLevelType w:val="singleLevel"/>
    <w:tmpl w:val="F23810AC"/>
    <w:lvl w:ilvl="0">
      <w:start w:val="1"/>
      <w:numFmt w:val="bullet"/>
      <w:pStyle w:val="Lijstopsomtek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93E5D7A"/>
    <w:lvl w:ilvl="0">
      <w:start w:val="1"/>
      <w:numFmt w:val="bullet"/>
      <w:pStyle w:val="Lijstopsomtek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3" w15:restartNumberingAfterBreak="0">
    <w:nsid w:val="FFFFFF88"/>
    <w:multiLevelType w:val="singleLevel"/>
    <w:tmpl w:val="84DC4FA6"/>
    <w:lvl w:ilvl="0">
      <w:start w:val="1"/>
      <w:numFmt w:val="decimal"/>
      <w:pStyle w:val="Lijstnummering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2F6EF022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8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6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17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1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2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23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9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1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32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3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7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9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2"/>
  </w:num>
  <w:num w:numId="2" w16cid:durableId="1255477389">
    <w:abstractNumId w:val="4"/>
  </w:num>
  <w:num w:numId="3" w16cid:durableId="1585646794">
    <w:abstractNumId w:val="27"/>
  </w:num>
  <w:num w:numId="4" w16cid:durableId="1339430406">
    <w:abstractNumId w:val="8"/>
  </w:num>
  <w:num w:numId="5" w16cid:durableId="222763993">
    <w:abstractNumId w:val="41"/>
  </w:num>
  <w:num w:numId="6" w16cid:durableId="1855417277">
    <w:abstractNumId w:val="42"/>
  </w:num>
  <w:num w:numId="7" w16cid:durableId="664554699">
    <w:abstractNumId w:val="25"/>
  </w:num>
  <w:num w:numId="8" w16cid:durableId="491021738">
    <w:abstractNumId w:val="1"/>
  </w:num>
  <w:num w:numId="9" w16cid:durableId="1245069596">
    <w:abstractNumId w:val="3"/>
    <w:lvlOverride w:ilvl="0">
      <w:startOverride w:val="1"/>
    </w:lvlOverride>
  </w:num>
  <w:num w:numId="10" w16cid:durableId="971249069">
    <w:abstractNumId w:val="0"/>
  </w:num>
  <w:num w:numId="11" w16cid:durableId="721289875">
    <w:abstractNumId w:val="29"/>
  </w:num>
  <w:num w:numId="12" w16cid:durableId="1659455955">
    <w:abstractNumId w:val="14"/>
  </w:num>
  <w:num w:numId="13" w16cid:durableId="1071463530">
    <w:abstractNumId w:val="13"/>
  </w:num>
  <w:num w:numId="14" w16cid:durableId="1412659187">
    <w:abstractNumId w:val="9"/>
  </w:num>
  <w:num w:numId="15" w16cid:durableId="1721321704">
    <w:abstractNumId w:val="36"/>
  </w:num>
  <w:num w:numId="16" w16cid:durableId="1931695538">
    <w:abstractNumId w:val="30"/>
  </w:num>
  <w:num w:numId="17" w16cid:durableId="1617833830">
    <w:abstractNumId w:val="22"/>
  </w:num>
  <w:num w:numId="18" w16cid:durableId="1066950271">
    <w:abstractNumId w:val="31"/>
  </w:num>
  <w:num w:numId="19" w16cid:durableId="505096582">
    <w:abstractNumId w:val="15"/>
  </w:num>
  <w:num w:numId="20" w16cid:durableId="1608661047">
    <w:abstractNumId w:val="10"/>
  </w:num>
  <w:num w:numId="21" w16cid:durableId="1519391871">
    <w:abstractNumId w:val="16"/>
  </w:num>
  <w:num w:numId="22" w16cid:durableId="1449542381">
    <w:abstractNumId w:val="35"/>
  </w:num>
  <w:num w:numId="23" w16cid:durableId="702245912">
    <w:abstractNumId w:val="12"/>
  </w:num>
  <w:num w:numId="24" w16cid:durableId="1670985713">
    <w:abstractNumId w:val="40"/>
  </w:num>
  <w:num w:numId="25" w16cid:durableId="1040208641">
    <w:abstractNumId w:val="17"/>
  </w:num>
  <w:num w:numId="26" w16cid:durableId="1622296786">
    <w:abstractNumId w:val="11"/>
  </w:num>
  <w:num w:numId="27" w16cid:durableId="2062174431">
    <w:abstractNumId w:val="37"/>
  </w:num>
  <w:num w:numId="28" w16cid:durableId="1837724630">
    <w:abstractNumId w:val="24"/>
  </w:num>
  <w:num w:numId="29" w16cid:durableId="17585453">
    <w:abstractNumId w:val="33"/>
  </w:num>
  <w:num w:numId="30" w16cid:durableId="598295372">
    <w:abstractNumId w:val="43"/>
  </w:num>
  <w:num w:numId="31" w16cid:durableId="1011106852">
    <w:abstractNumId w:val="6"/>
  </w:num>
  <w:num w:numId="32" w16cid:durableId="1161850212">
    <w:abstractNumId w:val="34"/>
  </w:num>
  <w:num w:numId="33" w16cid:durableId="1261599368">
    <w:abstractNumId w:val="26"/>
  </w:num>
  <w:num w:numId="34" w16cid:durableId="1413237085">
    <w:abstractNumId w:val="19"/>
  </w:num>
  <w:num w:numId="35" w16cid:durableId="1177963593">
    <w:abstractNumId w:val="5"/>
  </w:num>
  <w:num w:numId="36" w16cid:durableId="2019236840">
    <w:abstractNumId w:val="18"/>
  </w:num>
  <w:num w:numId="37" w16cid:durableId="471094315">
    <w:abstractNumId w:val="3"/>
  </w:num>
  <w:num w:numId="38" w16cid:durableId="1388067245">
    <w:abstractNumId w:val="20"/>
  </w:num>
  <w:num w:numId="39" w16cid:durableId="1863470021">
    <w:abstractNumId w:val="21"/>
  </w:num>
  <w:num w:numId="40" w16cid:durableId="1441801240">
    <w:abstractNumId w:val="32"/>
  </w:num>
  <w:num w:numId="41" w16cid:durableId="1326586262">
    <w:abstractNumId w:val="28"/>
  </w:num>
  <w:num w:numId="42" w16cid:durableId="1608848734">
    <w:abstractNumId w:val="23"/>
  </w:num>
  <w:num w:numId="43" w16cid:durableId="516316104">
    <w:abstractNumId w:val="38"/>
  </w:num>
  <w:num w:numId="44" w16cid:durableId="228999546">
    <w:abstractNumId w:val="7"/>
  </w:num>
  <w:num w:numId="45" w16cid:durableId="1631671204">
    <w:abstractNumId w:val="39"/>
  </w:num>
  <w:num w:numId="46" w16cid:durableId="1528519092">
    <w:abstractNumId w:val="3"/>
    <w:lvlOverride w:ilvl="0">
      <w:startOverride w:val="1"/>
    </w:lvlOverride>
  </w:num>
  <w:num w:numId="47" w16cid:durableId="1648626160">
    <w:abstractNumId w:val="3"/>
    <w:lvlOverride w:ilvl="0">
      <w:startOverride w:val="1"/>
    </w:lvlOverride>
  </w:num>
  <w:num w:numId="48" w16cid:durableId="1426149440">
    <w:abstractNumId w:val="3"/>
    <w:lvlOverride w:ilvl="0">
      <w:startOverride w:val="1"/>
    </w:lvlOverride>
  </w:num>
  <w:num w:numId="49" w16cid:durableId="111555615">
    <w:abstractNumId w:val="3"/>
    <w:lvlOverride w:ilvl="0">
      <w:startOverride w:val="1"/>
    </w:lvlOverride>
  </w:num>
  <w:num w:numId="50" w16cid:durableId="1248617575">
    <w:abstractNumId w:val="3"/>
    <w:lvlOverride w:ilvl="0">
      <w:startOverride w:val="1"/>
    </w:lvlOverride>
  </w:num>
  <w:num w:numId="51" w16cid:durableId="2014262093">
    <w:abstractNumId w:val="3"/>
    <w:lvlOverride w:ilvl="0">
      <w:startOverride w:val="1"/>
    </w:lvlOverride>
  </w:num>
  <w:num w:numId="52" w16cid:durableId="817961400">
    <w:abstractNumId w:val="3"/>
    <w:lvlOverride w:ilvl="0">
      <w:startOverride w:val="1"/>
    </w:lvlOverride>
  </w:num>
  <w:num w:numId="53" w16cid:durableId="589699355">
    <w:abstractNumId w:val="3"/>
    <w:lvlOverride w:ilvl="0">
      <w:startOverride w:val="1"/>
    </w:lvlOverride>
  </w:num>
  <w:num w:numId="54" w16cid:durableId="218371804">
    <w:abstractNumId w:val="3"/>
    <w:lvlOverride w:ilvl="0">
      <w:startOverride w:val="1"/>
    </w:lvlOverride>
  </w:num>
  <w:num w:numId="55" w16cid:durableId="1803647560">
    <w:abstractNumId w:val="3"/>
    <w:lvlOverride w:ilvl="0">
      <w:startOverride w:val="1"/>
    </w:lvlOverride>
  </w:num>
  <w:num w:numId="56" w16cid:durableId="1534340820">
    <w:abstractNumId w:val="3"/>
    <w:lvlOverride w:ilvl="0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9D"/>
    <w:rsid w:val="000136DB"/>
    <w:rsid w:val="00015C4B"/>
    <w:rsid w:val="00016D3B"/>
    <w:rsid w:val="00023B49"/>
    <w:rsid w:val="00023D6B"/>
    <w:rsid w:val="00032E67"/>
    <w:rsid w:val="000439B6"/>
    <w:rsid w:val="000524D5"/>
    <w:rsid w:val="00064094"/>
    <w:rsid w:val="00065719"/>
    <w:rsid w:val="00072735"/>
    <w:rsid w:val="0008097F"/>
    <w:rsid w:val="00091CCF"/>
    <w:rsid w:val="000A676F"/>
    <w:rsid w:val="000E7838"/>
    <w:rsid w:val="000F3903"/>
    <w:rsid w:val="000F6925"/>
    <w:rsid w:val="00103E95"/>
    <w:rsid w:val="00104D4C"/>
    <w:rsid w:val="00111F59"/>
    <w:rsid w:val="00116885"/>
    <w:rsid w:val="001327ED"/>
    <w:rsid w:val="001356D2"/>
    <w:rsid w:val="00142A19"/>
    <w:rsid w:val="00143630"/>
    <w:rsid w:val="00146349"/>
    <w:rsid w:val="00147AEF"/>
    <w:rsid w:val="0015045C"/>
    <w:rsid w:val="00162484"/>
    <w:rsid w:val="00163A63"/>
    <w:rsid w:val="00172F8D"/>
    <w:rsid w:val="001830F0"/>
    <w:rsid w:val="00191E1C"/>
    <w:rsid w:val="00193A11"/>
    <w:rsid w:val="001A373F"/>
    <w:rsid w:val="001B0B39"/>
    <w:rsid w:val="001D4EDC"/>
    <w:rsid w:val="001F356F"/>
    <w:rsid w:val="001F523A"/>
    <w:rsid w:val="002164F6"/>
    <w:rsid w:val="00222321"/>
    <w:rsid w:val="00227DFB"/>
    <w:rsid w:val="002315CE"/>
    <w:rsid w:val="00247233"/>
    <w:rsid w:val="002532BE"/>
    <w:rsid w:val="002549E0"/>
    <w:rsid w:val="0026751A"/>
    <w:rsid w:val="00271839"/>
    <w:rsid w:val="00294BB1"/>
    <w:rsid w:val="002C6D1B"/>
    <w:rsid w:val="002D3F0F"/>
    <w:rsid w:val="002F1CAB"/>
    <w:rsid w:val="003119F4"/>
    <w:rsid w:val="00316F65"/>
    <w:rsid w:val="00340807"/>
    <w:rsid w:val="00340B18"/>
    <w:rsid w:val="00353D67"/>
    <w:rsid w:val="003604EB"/>
    <w:rsid w:val="00366266"/>
    <w:rsid w:val="00372590"/>
    <w:rsid w:val="0038283B"/>
    <w:rsid w:val="00386131"/>
    <w:rsid w:val="0038645B"/>
    <w:rsid w:val="003876FF"/>
    <w:rsid w:val="0039285D"/>
    <w:rsid w:val="003A0C0F"/>
    <w:rsid w:val="003B1367"/>
    <w:rsid w:val="003B59AE"/>
    <w:rsid w:val="003B5E82"/>
    <w:rsid w:val="003C18E2"/>
    <w:rsid w:val="003D4AE4"/>
    <w:rsid w:val="003D7576"/>
    <w:rsid w:val="003E3621"/>
    <w:rsid w:val="003E4206"/>
    <w:rsid w:val="003E44F0"/>
    <w:rsid w:val="003E6E58"/>
    <w:rsid w:val="003F134C"/>
    <w:rsid w:val="003F1472"/>
    <w:rsid w:val="003F342F"/>
    <w:rsid w:val="003F3C27"/>
    <w:rsid w:val="003F41C1"/>
    <w:rsid w:val="003F5E48"/>
    <w:rsid w:val="003F6A4B"/>
    <w:rsid w:val="00400B9E"/>
    <w:rsid w:val="00403A7E"/>
    <w:rsid w:val="004042CB"/>
    <w:rsid w:val="004076CB"/>
    <w:rsid w:val="004115F1"/>
    <w:rsid w:val="00415459"/>
    <w:rsid w:val="00432BAF"/>
    <w:rsid w:val="00452CE6"/>
    <w:rsid w:val="00453C5E"/>
    <w:rsid w:val="004765E1"/>
    <w:rsid w:val="004804B4"/>
    <w:rsid w:val="00480B16"/>
    <w:rsid w:val="0048571B"/>
    <w:rsid w:val="00495377"/>
    <w:rsid w:val="00495925"/>
    <w:rsid w:val="004B4059"/>
    <w:rsid w:val="004B40EA"/>
    <w:rsid w:val="004B5596"/>
    <w:rsid w:val="004C3A34"/>
    <w:rsid w:val="004C7EEA"/>
    <w:rsid w:val="004E129C"/>
    <w:rsid w:val="004E1CFF"/>
    <w:rsid w:val="004E2DE5"/>
    <w:rsid w:val="004E4FFD"/>
    <w:rsid w:val="004F56AE"/>
    <w:rsid w:val="0050098C"/>
    <w:rsid w:val="00503C75"/>
    <w:rsid w:val="0051053D"/>
    <w:rsid w:val="005143BB"/>
    <w:rsid w:val="0052228B"/>
    <w:rsid w:val="0052610F"/>
    <w:rsid w:val="0052618E"/>
    <w:rsid w:val="0053399C"/>
    <w:rsid w:val="005343E3"/>
    <w:rsid w:val="00534448"/>
    <w:rsid w:val="00560148"/>
    <w:rsid w:val="005643B3"/>
    <w:rsid w:val="00565F83"/>
    <w:rsid w:val="00576735"/>
    <w:rsid w:val="005960E7"/>
    <w:rsid w:val="005C0853"/>
    <w:rsid w:val="005C2631"/>
    <w:rsid w:val="005E7811"/>
    <w:rsid w:val="005F09C6"/>
    <w:rsid w:val="00605884"/>
    <w:rsid w:val="006156B9"/>
    <w:rsid w:val="00620E92"/>
    <w:rsid w:val="00636B10"/>
    <w:rsid w:val="0064045A"/>
    <w:rsid w:val="006426AF"/>
    <w:rsid w:val="00645AE8"/>
    <w:rsid w:val="00654F4E"/>
    <w:rsid w:val="006559E5"/>
    <w:rsid w:val="0066010F"/>
    <w:rsid w:val="00682698"/>
    <w:rsid w:val="00695EEC"/>
    <w:rsid w:val="006A41BC"/>
    <w:rsid w:val="006A5ADF"/>
    <w:rsid w:val="006B35B7"/>
    <w:rsid w:val="006C42AA"/>
    <w:rsid w:val="006C68D8"/>
    <w:rsid w:val="006D6D52"/>
    <w:rsid w:val="006F52EC"/>
    <w:rsid w:val="007028EE"/>
    <w:rsid w:val="0071443F"/>
    <w:rsid w:val="007168E8"/>
    <w:rsid w:val="00725B1D"/>
    <w:rsid w:val="00733DE2"/>
    <w:rsid w:val="007406C9"/>
    <w:rsid w:val="00740D25"/>
    <w:rsid w:val="007535EB"/>
    <w:rsid w:val="00755A1C"/>
    <w:rsid w:val="00764364"/>
    <w:rsid w:val="007647D3"/>
    <w:rsid w:val="00793790"/>
    <w:rsid w:val="007A2814"/>
    <w:rsid w:val="007B15AC"/>
    <w:rsid w:val="007C69E4"/>
    <w:rsid w:val="007D68F4"/>
    <w:rsid w:val="007D6B02"/>
    <w:rsid w:val="007E459B"/>
    <w:rsid w:val="007E746D"/>
    <w:rsid w:val="007F35D0"/>
    <w:rsid w:val="007F56D1"/>
    <w:rsid w:val="007F5845"/>
    <w:rsid w:val="00806745"/>
    <w:rsid w:val="00806801"/>
    <w:rsid w:val="00806C9C"/>
    <w:rsid w:val="00807EFA"/>
    <w:rsid w:val="0082579D"/>
    <w:rsid w:val="00826909"/>
    <w:rsid w:val="008316E1"/>
    <w:rsid w:val="00833185"/>
    <w:rsid w:val="00834D01"/>
    <w:rsid w:val="0083686B"/>
    <w:rsid w:val="0084049A"/>
    <w:rsid w:val="00847047"/>
    <w:rsid w:val="00866108"/>
    <w:rsid w:val="00867BAD"/>
    <w:rsid w:val="008742EC"/>
    <w:rsid w:val="008976C7"/>
    <w:rsid w:val="008A3252"/>
    <w:rsid w:val="008A4A09"/>
    <w:rsid w:val="008A6E3E"/>
    <w:rsid w:val="008B25BF"/>
    <w:rsid w:val="008B4DF9"/>
    <w:rsid w:val="008C0189"/>
    <w:rsid w:val="008C58F2"/>
    <w:rsid w:val="008E4F02"/>
    <w:rsid w:val="00906BB4"/>
    <w:rsid w:val="00910A97"/>
    <w:rsid w:val="009115B7"/>
    <w:rsid w:val="00912CE9"/>
    <w:rsid w:val="00916E0A"/>
    <w:rsid w:val="009276BE"/>
    <w:rsid w:val="0093446F"/>
    <w:rsid w:val="0093593F"/>
    <w:rsid w:val="00952DBD"/>
    <w:rsid w:val="00965AEB"/>
    <w:rsid w:val="00967160"/>
    <w:rsid w:val="00967C9C"/>
    <w:rsid w:val="00975657"/>
    <w:rsid w:val="00976FD2"/>
    <w:rsid w:val="009A0652"/>
    <w:rsid w:val="009A3722"/>
    <w:rsid w:val="009B186C"/>
    <w:rsid w:val="009B4EA4"/>
    <w:rsid w:val="009C4378"/>
    <w:rsid w:val="009D053F"/>
    <w:rsid w:val="009D58C3"/>
    <w:rsid w:val="009E3B73"/>
    <w:rsid w:val="009E7B94"/>
    <w:rsid w:val="009F4B09"/>
    <w:rsid w:val="009F5B72"/>
    <w:rsid w:val="009F6EB9"/>
    <w:rsid w:val="00A00114"/>
    <w:rsid w:val="00A12C59"/>
    <w:rsid w:val="00A22D76"/>
    <w:rsid w:val="00A24665"/>
    <w:rsid w:val="00A27DA1"/>
    <w:rsid w:val="00A6609C"/>
    <w:rsid w:val="00A662D6"/>
    <w:rsid w:val="00A71490"/>
    <w:rsid w:val="00A724DE"/>
    <w:rsid w:val="00A83DF3"/>
    <w:rsid w:val="00A863B9"/>
    <w:rsid w:val="00A8751F"/>
    <w:rsid w:val="00A935AF"/>
    <w:rsid w:val="00A95259"/>
    <w:rsid w:val="00A974DC"/>
    <w:rsid w:val="00AA5059"/>
    <w:rsid w:val="00AA52BB"/>
    <w:rsid w:val="00AC0CDB"/>
    <w:rsid w:val="00AD27E1"/>
    <w:rsid w:val="00AE465E"/>
    <w:rsid w:val="00AE646D"/>
    <w:rsid w:val="00AF356C"/>
    <w:rsid w:val="00AF75F1"/>
    <w:rsid w:val="00B067FA"/>
    <w:rsid w:val="00B07904"/>
    <w:rsid w:val="00B21E3D"/>
    <w:rsid w:val="00B23DC2"/>
    <w:rsid w:val="00B2505C"/>
    <w:rsid w:val="00B261EC"/>
    <w:rsid w:val="00B37DF9"/>
    <w:rsid w:val="00B413ED"/>
    <w:rsid w:val="00B42D63"/>
    <w:rsid w:val="00B450CF"/>
    <w:rsid w:val="00B452B1"/>
    <w:rsid w:val="00B55B0D"/>
    <w:rsid w:val="00B73561"/>
    <w:rsid w:val="00B74DC8"/>
    <w:rsid w:val="00B767AF"/>
    <w:rsid w:val="00B76B90"/>
    <w:rsid w:val="00B8342A"/>
    <w:rsid w:val="00B91E67"/>
    <w:rsid w:val="00BA2E3D"/>
    <w:rsid w:val="00BB3E6B"/>
    <w:rsid w:val="00BB4390"/>
    <w:rsid w:val="00BB55DA"/>
    <w:rsid w:val="00BC2E31"/>
    <w:rsid w:val="00BC34A5"/>
    <w:rsid w:val="00BC6CB5"/>
    <w:rsid w:val="00BD1D36"/>
    <w:rsid w:val="00BD37D9"/>
    <w:rsid w:val="00BD4DA0"/>
    <w:rsid w:val="00BF1B43"/>
    <w:rsid w:val="00BF7A7D"/>
    <w:rsid w:val="00C0088B"/>
    <w:rsid w:val="00C00CC6"/>
    <w:rsid w:val="00C03C13"/>
    <w:rsid w:val="00C04E46"/>
    <w:rsid w:val="00C16A63"/>
    <w:rsid w:val="00C2072A"/>
    <w:rsid w:val="00C266BD"/>
    <w:rsid w:val="00C27399"/>
    <w:rsid w:val="00C3254E"/>
    <w:rsid w:val="00C372C1"/>
    <w:rsid w:val="00C45D95"/>
    <w:rsid w:val="00C54DB6"/>
    <w:rsid w:val="00C63E5A"/>
    <w:rsid w:val="00CB5E7A"/>
    <w:rsid w:val="00CB64AC"/>
    <w:rsid w:val="00CB6D89"/>
    <w:rsid w:val="00CC45D9"/>
    <w:rsid w:val="00CD04C6"/>
    <w:rsid w:val="00CF1603"/>
    <w:rsid w:val="00CF1C77"/>
    <w:rsid w:val="00CF68F7"/>
    <w:rsid w:val="00D15CEA"/>
    <w:rsid w:val="00D26DE2"/>
    <w:rsid w:val="00D277DF"/>
    <w:rsid w:val="00D300F6"/>
    <w:rsid w:val="00D358C2"/>
    <w:rsid w:val="00D368BC"/>
    <w:rsid w:val="00D530EF"/>
    <w:rsid w:val="00D54CF8"/>
    <w:rsid w:val="00D63E21"/>
    <w:rsid w:val="00D77EA5"/>
    <w:rsid w:val="00D81FC5"/>
    <w:rsid w:val="00D8440B"/>
    <w:rsid w:val="00D84B4D"/>
    <w:rsid w:val="00D94112"/>
    <w:rsid w:val="00D951B8"/>
    <w:rsid w:val="00D957B5"/>
    <w:rsid w:val="00DC2C5A"/>
    <w:rsid w:val="00DD03CA"/>
    <w:rsid w:val="00DD1DD3"/>
    <w:rsid w:val="00DD7F99"/>
    <w:rsid w:val="00DF35F7"/>
    <w:rsid w:val="00E01D25"/>
    <w:rsid w:val="00E1612F"/>
    <w:rsid w:val="00E17B68"/>
    <w:rsid w:val="00E316A8"/>
    <w:rsid w:val="00E36985"/>
    <w:rsid w:val="00E36CBC"/>
    <w:rsid w:val="00E5049B"/>
    <w:rsid w:val="00E51700"/>
    <w:rsid w:val="00E51EAC"/>
    <w:rsid w:val="00E53039"/>
    <w:rsid w:val="00E63B78"/>
    <w:rsid w:val="00E77F79"/>
    <w:rsid w:val="00E80110"/>
    <w:rsid w:val="00E83BE9"/>
    <w:rsid w:val="00E846D4"/>
    <w:rsid w:val="00EA5DD5"/>
    <w:rsid w:val="00ED1696"/>
    <w:rsid w:val="00EF075B"/>
    <w:rsid w:val="00F048A8"/>
    <w:rsid w:val="00F06533"/>
    <w:rsid w:val="00F0680B"/>
    <w:rsid w:val="00F12B9D"/>
    <w:rsid w:val="00F339FC"/>
    <w:rsid w:val="00F34B0B"/>
    <w:rsid w:val="00F41814"/>
    <w:rsid w:val="00F41E3E"/>
    <w:rsid w:val="00F424AA"/>
    <w:rsid w:val="00F461FA"/>
    <w:rsid w:val="00F47E99"/>
    <w:rsid w:val="00F54209"/>
    <w:rsid w:val="00F55BD7"/>
    <w:rsid w:val="00F67AA2"/>
    <w:rsid w:val="00F73684"/>
    <w:rsid w:val="00F80A03"/>
    <w:rsid w:val="00F833FD"/>
    <w:rsid w:val="00F90D0F"/>
    <w:rsid w:val="00F92B53"/>
    <w:rsid w:val="00FA721E"/>
    <w:rsid w:val="00FA7367"/>
    <w:rsid w:val="00FA76A8"/>
    <w:rsid w:val="00FB1D5F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C333"/>
  <w15:chartTrackingRefBased/>
  <w15:docId w15:val="{099A1A73-6CBA-0446-9545-B9CFEFDE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5059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B186C"/>
    <w:pPr>
      <w:keepNext/>
      <w:keepLines/>
      <w:numPr>
        <w:numId w:val="3"/>
      </w:numPr>
      <w:pBdr>
        <w:bottom w:val="single" w:sz="18" w:space="1" w:color="0066CC"/>
      </w:pBdr>
      <w:spacing w:before="360" w:line="400" w:lineRule="exact"/>
      <w:jc w:val="left"/>
      <w:outlineLvl w:val="0"/>
    </w:pPr>
    <w:rPr>
      <w:rFonts w:ascii="Aptos SemiBold" w:eastAsiaTheme="majorEastAsia" w:hAnsi="Aptos SemiBold" w:cs="Times New Roman (Koppen CS)"/>
      <w:b/>
      <w:spacing w:val="4"/>
      <w:sz w:val="2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186C"/>
    <w:pPr>
      <w:keepNext/>
      <w:keepLines/>
      <w:numPr>
        <w:ilvl w:val="1"/>
        <w:numId w:val="3"/>
      </w:numPr>
      <w:pBdr>
        <w:bottom w:val="single" w:sz="18" w:space="1" w:color="66CC00"/>
      </w:pBdr>
      <w:spacing w:before="360" w:after="240" w:line="360" w:lineRule="exact"/>
      <w:ind w:left="578" w:hanging="578"/>
      <w:jc w:val="left"/>
      <w:outlineLvl w:val="1"/>
    </w:pPr>
    <w:rPr>
      <w:rFonts w:ascii="Aptos SemiBold" w:eastAsiaTheme="majorEastAsia" w:hAnsi="Aptos SemiBold" w:cs="Times New Roman (Koppen CS)"/>
      <w:b/>
      <w:spacing w:val="4"/>
      <w:sz w:val="24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186C"/>
    <w:pPr>
      <w:keepNext/>
      <w:keepLines/>
      <w:pBdr>
        <w:bottom w:val="single" w:sz="12" w:space="1" w:color="0066CC"/>
      </w:pBdr>
      <w:spacing w:before="240"/>
      <w:jc w:val="left"/>
      <w:outlineLvl w:val="2"/>
    </w:pPr>
    <w:rPr>
      <w:rFonts w:ascii="Aptos SemiBold" w:eastAsiaTheme="majorEastAsia" w:hAnsi="Aptos SemiBold" w:cs="Times New Roman (Koppen CS)"/>
      <w:b/>
      <w:spacing w:val="4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9B186C"/>
    <w:pPr>
      <w:pBdr>
        <w:bottom w:val="single" w:sz="12" w:space="1" w:color="66CC00"/>
      </w:pBdr>
      <w:tabs>
        <w:tab w:val="left" w:pos="426"/>
      </w:tabs>
      <w:spacing w:before="240"/>
      <w:jc w:val="left"/>
      <w:outlineLvl w:val="3"/>
    </w:pPr>
    <w:rPr>
      <w:rFonts w:ascii="Aptos SemiBold" w:eastAsia="MS Gothic" w:hAnsi="Aptos SemiBold" w:cs="Arial Rounded MT Bold"/>
      <w:b/>
      <w:spacing w:val="4"/>
      <w:kern w:val="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B186C"/>
    <w:pPr>
      <w:keepNext/>
      <w:keepLines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BF7A7D"/>
    <w:pPr>
      <w:keepNext/>
      <w:keepLines/>
      <w:numPr>
        <w:ilvl w:val="8"/>
        <w:numId w:val="3"/>
      </w:numPr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9B186C"/>
    <w:rPr>
      <w:rFonts w:ascii="Aptos SemiBold" w:eastAsia="MS Gothic" w:hAnsi="Aptos SemiBold" w:cs="Arial Rounded MT Bold"/>
      <w:b/>
      <w:spacing w:val="4"/>
      <w:sz w:val="21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806745"/>
    <w:pPr>
      <w:tabs>
        <w:tab w:val="left" w:pos="454"/>
        <w:tab w:val="right" w:leader="underscore" w:pos="9062"/>
      </w:tabs>
      <w:spacing w:before="60" w:after="6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9B186C"/>
    <w:rPr>
      <w:rFonts w:ascii="Aptos SemiBold" w:eastAsiaTheme="majorEastAsia" w:hAnsi="Aptos SemiBold" w:cs="Times New Roman (Koppen CS)"/>
      <w:b/>
      <w:spacing w:val="4"/>
      <w:kern w:val="0"/>
      <w:sz w:val="28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9B186C"/>
    <w:rPr>
      <w:rFonts w:ascii="Aptos SemiBold" w:eastAsiaTheme="majorEastAsia" w:hAnsi="Aptos SemiBold" w:cs="Times New Roman (Koppen CS)"/>
      <w:b/>
      <w:spacing w:val="4"/>
      <w:kern w:val="0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9B186C"/>
    <w:rPr>
      <w:rFonts w:ascii="Aptos SemiBold" w:eastAsiaTheme="majorEastAsia" w:hAnsi="Aptos SemiBold" w:cs="Times New Roman (Koppen CS)"/>
      <w:b/>
      <w:spacing w:val="4"/>
      <w:kern w:val="0"/>
      <w:sz w:val="21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9B186C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ED1696"/>
    <w:pPr>
      <w:spacing w:before="0" w:after="240" w:line="700" w:lineRule="exact"/>
      <w:contextualSpacing/>
      <w:jc w:val="center"/>
    </w:pPr>
    <w:rPr>
      <w:rFonts w:ascii="Aptos SemiBold" w:eastAsiaTheme="majorEastAsia" w:hAnsi="Aptos SemiBold" w:cstheme="majorBidi"/>
      <w:b/>
      <w:color w:val="0066CC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1696"/>
    <w:rPr>
      <w:rFonts w:ascii="Aptos SemiBold" w:eastAsiaTheme="majorEastAsia" w:hAnsi="Aptos SemiBold" w:cstheme="majorBidi"/>
      <w:b/>
      <w:color w:val="0066CC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ED1696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b/>
      <w:color w:val="0066CC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1696"/>
    <w:rPr>
      <w:rFonts w:ascii="Aptos SemiBold" w:eastAsiaTheme="majorEastAsia" w:hAnsi="Aptos SemiBold" w:cstheme="majorBidi"/>
      <w:b/>
      <w:color w:val="0066CC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AF75F1"/>
    <w:pPr>
      <w:numPr>
        <w:numId w:val="37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7DFB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D1EFB2"/>
      <w:spacing w:before="360" w:after="360"/>
      <w:ind w:left="864" w:right="864"/>
      <w:jc w:val="center"/>
    </w:pPr>
    <w:rPr>
      <w:iCs/>
      <w:color w:val="0000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7DFB"/>
    <w:rPr>
      <w:rFonts w:ascii="Aptos" w:hAnsi="Aptos" w:cs="Times New Roman"/>
      <w:iCs/>
      <w:color w:val="000000"/>
      <w:kern w:val="0"/>
      <w:sz w:val="21"/>
      <w:shd w:val="clear" w:color="auto" w:fill="D1EFB2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AE465E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432BAF"/>
    <w:pPr>
      <w:numPr>
        <w:numId w:val="2"/>
      </w:numPr>
      <w:spacing w:before="0" w:after="0"/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27DFB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227DFB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rsid w:val="00432BAF"/>
    <w:pPr>
      <w:numPr>
        <w:numId w:val="8"/>
      </w:numPr>
      <w:spacing w:before="0" w:after="0"/>
      <w:contextualSpacing/>
      <w:jc w:val="left"/>
    </w:pPr>
  </w:style>
  <w:style w:type="paragraph" w:customStyle="1" w:styleId="StandaardLinks">
    <w:name w:val="Standaard Links"/>
    <w:basedOn w:val="Standaard"/>
    <w:rsid w:val="00227DFB"/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34D01"/>
    <w:pPr>
      <w:spacing w:before="0"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before="0"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4">
    <w:name w:val="List Bullet 4"/>
    <w:basedOn w:val="Standaard"/>
    <w:uiPriority w:val="99"/>
    <w:unhideWhenUsed/>
    <w:rsid w:val="00AE465E"/>
    <w:pPr>
      <w:numPr>
        <w:numId w:val="10"/>
      </w:numPr>
      <w:spacing w:before="0" w:after="0"/>
      <w:contextualSpacing/>
    </w:pPr>
  </w:style>
  <w:style w:type="paragraph" w:styleId="Geenafstand">
    <w:name w:val="No Spacing"/>
    <w:uiPriority w:val="1"/>
    <w:qFormat/>
    <w:rsid w:val="00227DFB"/>
    <w:pPr>
      <w:snapToGrid w:val="0"/>
      <w:spacing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11"/>
      </w:numPr>
    </w:pPr>
  </w:style>
  <w:style w:type="paragraph" w:customStyle="1" w:styleId="Deelkop">
    <w:name w:val="Deelkop"/>
    <w:basedOn w:val="Kop1"/>
    <w:qFormat/>
    <w:rsid w:val="0053399C"/>
    <w:pPr>
      <w:numPr>
        <w:numId w:val="0"/>
      </w:numPr>
      <w:spacing w:before="4000" w:line="800" w:lineRule="exact"/>
      <w:jc w:val="center"/>
    </w:pPr>
    <w:rPr>
      <w:rFonts w:ascii="Calibri" w:eastAsia="MS Gothic" w:hAnsi="Calibri"/>
      <w:spacing w:val="8"/>
      <w:sz w:val="48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2"/>
      </w:numPr>
    </w:pPr>
  </w:style>
  <w:style w:type="numbering" w:customStyle="1" w:styleId="Huidigelijst6">
    <w:name w:val="Huidige lijst6"/>
    <w:uiPriority w:val="99"/>
    <w:rsid w:val="00B23DC2"/>
    <w:pPr>
      <w:numPr>
        <w:numId w:val="13"/>
      </w:numPr>
    </w:pPr>
  </w:style>
  <w:style w:type="numbering" w:customStyle="1" w:styleId="Huidigelijst7">
    <w:name w:val="Huidige lijst7"/>
    <w:uiPriority w:val="99"/>
    <w:rsid w:val="00B23DC2"/>
    <w:pPr>
      <w:numPr>
        <w:numId w:val="14"/>
      </w:numPr>
    </w:pPr>
  </w:style>
  <w:style w:type="numbering" w:customStyle="1" w:styleId="Huidigelijst8">
    <w:name w:val="Huidige lijst8"/>
    <w:uiPriority w:val="99"/>
    <w:rsid w:val="00B23DC2"/>
    <w:pPr>
      <w:numPr>
        <w:numId w:val="15"/>
      </w:numPr>
    </w:pPr>
  </w:style>
  <w:style w:type="numbering" w:customStyle="1" w:styleId="Huidigelijst9">
    <w:name w:val="Huidige lijst9"/>
    <w:uiPriority w:val="99"/>
    <w:rsid w:val="00B23DC2"/>
    <w:pPr>
      <w:numPr>
        <w:numId w:val="16"/>
      </w:numPr>
    </w:pPr>
  </w:style>
  <w:style w:type="numbering" w:customStyle="1" w:styleId="Huidigelijst10">
    <w:name w:val="Huidige lijst10"/>
    <w:uiPriority w:val="99"/>
    <w:rsid w:val="00B23DC2"/>
    <w:pPr>
      <w:numPr>
        <w:numId w:val="17"/>
      </w:numPr>
    </w:pPr>
  </w:style>
  <w:style w:type="numbering" w:customStyle="1" w:styleId="Huidigelijst11">
    <w:name w:val="Huidige lijst11"/>
    <w:uiPriority w:val="99"/>
    <w:rsid w:val="00B23DC2"/>
    <w:pPr>
      <w:numPr>
        <w:numId w:val="18"/>
      </w:numPr>
    </w:pPr>
  </w:style>
  <w:style w:type="numbering" w:customStyle="1" w:styleId="Huidigelijst12">
    <w:name w:val="Huidige lijst12"/>
    <w:uiPriority w:val="99"/>
    <w:rsid w:val="00B23DC2"/>
    <w:pPr>
      <w:numPr>
        <w:numId w:val="19"/>
      </w:numPr>
    </w:pPr>
  </w:style>
  <w:style w:type="numbering" w:customStyle="1" w:styleId="Huidigelijst13">
    <w:name w:val="Huidige lijst13"/>
    <w:uiPriority w:val="99"/>
    <w:rsid w:val="00B23DC2"/>
    <w:pPr>
      <w:numPr>
        <w:numId w:val="20"/>
      </w:numPr>
    </w:pPr>
  </w:style>
  <w:style w:type="numbering" w:customStyle="1" w:styleId="Huidigelijst14">
    <w:name w:val="Huidige lijst14"/>
    <w:uiPriority w:val="99"/>
    <w:rsid w:val="00B23DC2"/>
    <w:pPr>
      <w:numPr>
        <w:numId w:val="21"/>
      </w:numPr>
    </w:pPr>
  </w:style>
  <w:style w:type="numbering" w:customStyle="1" w:styleId="Huidigelijst15">
    <w:name w:val="Huidige lijst15"/>
    <w:uiPriority w:val="99"/>
    <w:rsid w:val="00B23DC2"/>
    <w:pPr>
      <w:numPr>
        <w:numId w:val="22"/>
      </w:numPr>
    </w:pPr>
  </w:style>
  <w:style w:type="numbering" w:customStyle="1" w:styleId="Huidigelijst16">
    <w:name w:val="Huidige lijst16"/>
    <w:uiPriority w:val="99"/>
    <w:rsid w:val="00B23DC2"/>
    <w:pPr>
      <w:numPr>
        <w:numId w:val="23"/>
      </w:numPr>
    </w:pPr>
  </w:style>
  <w:style w:type="numbering" w:customStyle="1" w:styleId="Huidigelijst17">
    <w:name w:val="Huidige lijst17"/>
    <w:uiPriority w:val="99"/>
    <w:rsid w:val="00B23DC2"/>
    <w:pPr>
      <w:numPr>
        <w:numId w:val="24"/>
      </w:numPr>
    </w:pPr>
  </w:style>
  <w:style w:type="numbering" w:customStyle="1" w:styleId="Huidigelijst18">
    <w:name w:val="Huidige lijst18"/>
    <w:uiPriority w:val="99"/>
    <w:rsid w:val="00B23DC2"/>
    <w:pPr>
      <w:numPr>
        <w:numId w:val="25"/>
      </w:numPr>
    </w:pPr>
  </w:style>
  <w:style w:type="numbering" w:customStyle="1" w:styleId="Huidigelijst19">
    <w:name w:val="Huidige lijst19"/>
    <w:uiPriority w:val="99"/>
    <w:rsid w:val="00B23DC2"/>
    <w:pPr>
      <w:numPr>
        <w:numId w:val="26"/>
      </w:numPr>
    </w:pPr>
  </w:style>
  <w:style w:type="numbering" w:customStyle="1" w:styleId="Huidigelijst20">
    <w:name w:val="Huidige lijst20"/>
    <w:uiPriority w:val="99"/>
    <w:rsid w:val="00B23DC2"/>
    <w:pPr>
      <w:numPr>
        <w:numId w:val="27"/>
      </w:numPr>
    </w:pPr>
  </w:style>
  <w:style w:type="numbering" w:customStyle="1" w:styleId="Huidigelijst21">
    <w:name w:val="Huidige lijst21"/>
    <w:uiPriority w:val="99"/>
    <w:rsid w:val="00B23DC2"/>
    <w:pPr>
      <w:numPr>
        <w:numId w:val="28"/>
      </w:numPr>
    </w:pPr>
  </w:style>
  <w:style w:type="numbering" w:customStyle="1" w:styleId="Huidigelijst22">
    <w:name w:val="Huidige lijst22"/>
    <w:uiPriority w:val="99"/>
    <w:rsid w:val="00B23DC2"/>
    <w:pPr>
      <w:numPr>
        <w:numId w:val="29"/>
      </w:numPr>
    </w:pPr>
  </w:style>
  <w:style w:type="numbering" w:customStyle="1" w:styleId="Huidigelijst23">
    <w:name w:val="Huidige lijst23"/>
    <w:uiPriority w:val="99"/>
    <w:rsid w:val="00B23DC2"/>
    <w:pPr>
      <w:numPr>
        <w:numId w:val="30"/>
      </w:numPr>
    </w:pPr>
  </w:style>
  <w:style w:type="paragraph" w:customStyle="1" w:styleId="Standaardpijl">
    <w:name w:val="Standaard pijl"/>
    <w:basedOn w:val="Standaard"/>
    <w:rsid w:val="00B23DC2"/>
    <w:pPr>
      <w:spacing w:before="0" w:after="0" w:line="300" w:lineRule="exact"/>
      <w:jc w:val="center"/>
    </w:pPr>
    <w:rPr>
      <w:rFonts w:ascii="Arial" w:eastAsia="Times New Roman" w:hAnsi="Arial" w:cs="Arial"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31"/>
      </w:numPr>
    </w:pPr>
  </w:style>
  <w:style w:type="numbering" w:customStyle="1" w:styleId="Huidigelijst25">
    <w:name w:val="Huidige lijst25"/>
    <w:uiPriority w:val="99"/>
    <w:rsid w:val="00B23DC2"/>
    <w:pPr>
      <w:numPr>
        <w:numId w:val="32"/>
      </w:numPr>
    </w:pPr>
  </w:style>
  <w:style w:type="numbering" w:customStyle="1" w:styleId="Huidigelijst26">
    <w:name w:val="Huidige lijst26"/>
    <w:uiPriority w:val="99"/>
    <w:rsid w:val="00B23DC2"/>
    <w:pPr>
      <w:numPr>
        <w:numId w:val="33"/>
      </w:numPr>
    </w:pPr>
  </w:style>
  <w:style w:type="numbering" w:customStyle="1" w:styleId="Huidigelijst27">
    <w:name w:val="Huidige lijst27"/>
    <w:uiPriority w:val="99"/>
    <w:rsid w:val="00B23DC2"/>
    <w:pPr>
      <w:numPr>
        <w:numId w:val="34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5"/>
      </w:numPr>
    </w:pPr>
  </w:style>
  <w:style w:type="numbering" w:customStyle="1" w:styleId="Huidigelijst29">
    <w:name w:val="Huidige lijst29"/>
    <w:uiPriority w:val="99"/>
    <w:rsid w:val="00B23DC2"/>
    <w:pPr>
      <w:numPr>
        <w:numId w:val="36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before="0"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before="0"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before="0"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before="0"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Standaardalinea-lettertype"/>
    <w:rsid w:val="00227DFB"/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Vormenspeltekst">
    <w:name w:val="Vormenspel tekst"/>
    <w:basedOn w:val="Standaard"/>
    <w:autoRedefine/>
    <w:rsid w:val="00227DFB"/>
    <w:pPr>
      <w:snapToGrid/>
      <w:spacing w:before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8"/>
      </w:numPr>
    </w:pPr>
  </w:style>
  <w:style w:type="numbering" w:customStyle="1" w:styleId="Huidigelijst31">
    <w:name w:val="Huidige lijst31"/>
    <w:uiPriority w:val="99"/>
    <w:rsid w:val="00227DFB"/>
    <w:pPr>
      <w:numPr>
        <w:numId w:val="39"/>
      </w:numPr>
    </w:pPr>
  </w:style>
  <w:style w:type="numbering" w:customStyle="1" w:styleId="Huidigelijst32">
    <w:name w:val="Huidige lijst32"/>
    <w:uiPriority w:val="99"/>
    <w:rsid w:val="00227DFB"/>
    <w:pPr>
      <w:numPr>
        <w:numId w:val="40"/>
      </w:numPr>
    </w:pPr>
  </w:style>
  <w:style w:type="numbering" w:customStyle="1" w:styleId="Huidigelijst33">
    <w:name w:val="Huidige lijst33"/>
    <w:uiPriority w:val="99"/>
    <w:rsid w:val="00227DFB"/>
    <w:pPr>
      <w:numPr>
        <w:numId w:val="41"/>
      </w:numPr>
    </w:pPr>
  </w:style>
  <w:style w:type="numbering" w:customStyle="1" w:styleId="Huidigelijst34">
    <w:name w:val="Huidige lijst34"/>
    <w:uiPriority w:val="99"/>
    <w:rsid w:val="00227DFB"/>
    <w:pPr>
      <w:numPr>
        <w:numId w:val="42"/>
      </w:numPr>
    </w:pPr>
  </w:style>
  <w:style w:type="numbering" w:customStyle="1" w:styleId="Huidigelijst35">
    <w:name w:val="Huidige lijst35"/>
    <w:uiPriority w:val="99"/>
    <w:rsid w:val="00227DFB"/>
    <w:pPr>
      <w:numPr>
        <w:numId w:val="43"/>
      </w:numPr>
    </w:pPr>
  </w:style>
  <w:style w:type="numbering" w:customStyle="1" w:styleId="Huidigelijst36">
    <w:name w:val="Huidige lijst36"/>
    <w:uiPriority w:val="99"/>
    <w:rsid w:val="00227DFB"/>
    <w:pPr>
      <w:numPr>
        <w:numId w:val="44"/>
      </w:numPr>
    </w:pPr>
  </w:style>
  <w:style w:type="numbering" w:customStyle="1" w:styleId="Huidigelijst37">
    <w:name w:val="Huidige lijst37"/>
    <w:uiPriority w:val="99"/>
    <w:rsid w:val="00227DFB"/>
    <w:pPr>
      <w:numPr>
        <w:numId w:val="45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rsid w:val="00C372C1"/>
    <w:pPr>
      <w:spacing w:before="0"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nhideWhenUsed/>
    <w:rsid w:val="00DD03CA"/>
    <w:pPr>
      <w:tabs>
        <w:tab w:val="center" w:pos="4536"/>
        <w:tab w:val="right" w:pos="9072"/>
      </w:tabs>
      <w:spacing w:before="0" w:after="0" w:line="240" w:lineRule="auto"/>
      <w:jc w:val="center"/>
    </w:pPr>
  </w:style>
  <w:style w:type="character" w:customStyle="1" w:styleId="VoettekstChar">
    <w:name w:val="Voettekst Char"/>
    <w:basedOn w:val="Standaardalinea-lettertype"/>
    <w:link w:val="Voettekst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Lijstalinea">
    <w:name w:val="List Paragraph"/>
    <w:basedOn w:val="Standaard"/>
    <w:uiPriority w:val="34"/>
    <w:rsid w:val="00340B18"/>
    <w:pPr>
      <w:ind w:left="720"/>
      <w:contextualSpacing/>
    </w:pPr>
  </w:style>
  <w:style w:type="paragraph" w:customStyle="1" w:styleId="Standaardlinks0">
    <w:name w:val="Standaard links"/>
    <w:basedOn w:val="Standaard"/>
    <w:qFormat/>
    <w:rsid w:val="0082579D"/>
    <w:pPr>
      <w:spacing w:line="300" w:lineRule="exact"/>
      <w:jc w:val="left"/>
    </w:pPr>
    <w:rPr>
      <w:rFonts w:ascii="Calibri" w:eastAsia="MS ??" w:hAnsi="Calibri" w:cs="Arial"/>
      <w:sz w:val="22"/>
      <w:szCs w:val="21"/>
      <w:lang w:eastAsia="en-US"/>
    </w:rPr>
  </w:style>
  <w:style w:type="paragraph" w:customStyle="1" w:styleId="StandaardLinkszonderafstand">
    <w:name w:val="Standaard Links zonder afstand"/>
    <w:basedOn w:val="Standaardlinks0"/>
    <w:qFormat/>
    <w:rsid w:val="0082579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nckel/Library/Group%20Containers/UBF8T346G9.Office/User%20Content.localized/Templates.localized/THG%20V17D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THG V17DEF.dotx</Template>
  <TotalTime>10</TotalTime>
  <Pages>8</Pages>
  <Words>1345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info@interventieacademie.nl</cp:lastModifiedBy>
  <cp:revision>1</cp:revision>
  <dcterms:created xsi:type="dcterms:W3CDTF">2024-09-30T14:43:00Z</dcterms:created>
  <dcterms:modified xsi:type="dcterms:W3CDTF">2024-09-30T14:53:00Z</dcterms:modified>
</cp:coreProperties>
</file>